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cs="Arial"/>
          <w:b/>
          <w:bCs/>
          <w:color w:themeColor="text1" w:val="000000"/>
          <w:sz w:val="20"/>
          <w:szCs w:val="20"/>
        </w:rPr>
      </w:pPr>
      <w:r>
        <w:rPr>
          <w:rFonts w:cs="Arial" w:ascii="Arial" w:hAnsi="Arial"/>
          <w:b/>
          <w:bCs/>
          <w:color w:themeColor="text1" w:val="000000"/>
          <w:sz w:val="20"/>
          <w:szCs w:val="20"/>
        </w:rPr>
        <w:t>MODELO DE TERMO DE CONTRATO</w:t>
        <w:br/>
      </w:r>
    </w:p>
    <w:p>
      <w:pPr>
        <w:pStyle w:val="Normal"/>
        <w:spacing w:lineRule="auto" w:line="240" w:before="0" w:after="0"/>
        <w:ind w:hanging="0" w:left="0" w:right="0"/>
        <w:jc w:val="center"/>
        <w:rPr>
          <w:rFonts w:ascii="Arial" w:hAnsi="Arial" w:cs="Arial"/>
          <w:b/>
          <w:i/>
          <w:i/>
          <w:color w:val="FF0000"/>
          <w:sz w:val="20"/>
          <w:szCs w:val="20"/>
        </w:rPr>
      </w:pPr>
      <w:r>
        <w:rPr>
          <w:rFonts w:cs="Arial" w:ascii="Arial" w:hAnsi="Arial"/>
          <w:b/>
          <w:i/>
          <w:color w:val="FF0000"/>
          <w:sz w:val="20"/>
          <w:szCs w:val="20"/>
        </w:rPr>
        <w:drawing>
          <wp:anchor behindDoc="0" distT="0" distB="0" distL="114300" distR="114300" simplePos="0" locked="0" layoutInCell="0" allowOverlap="1" relativeHeight="2">
            <wp:simplePos x="0" y="0"/>
            <wp:positionH relativeFrom="column">
              <wp:posOffset>2697480</wp:posOffset>
            </wp:positionH>
            <wp:positionV relativeFrom="paragraph">
              <wp:posOffset>-40005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40" w:before="0" w:after="0"/>
        <w:ind w:hanging="0" w:left="0" w:right="0"/>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240" w:before="0" w:after="0"/>
        <w:ind w:hanging="0" w:left="0" w:right="0"/>
        <w:jc w:val="center"/>
        <w:rPr/>
      </w:pPr>
      <w:r>
        <w:rPr/>
      </w:r>
    </w:p>
    <w:p>
      <w:pPr>
        <w:pStyle w:val="Normal"/>
        <w:spacing w:lineRule="auto" w:line="240" w:before="0" w:after="0"/>
        <w:ind w:hanging="0" w:left="0" w:right="0"/>
        <w:jc w:val="center"/>
        <w:rPr/>
      </w:pPr>
      <w:r>
        <w:rPr/>
      </w:r>
    </w:p>
    <w:p>
      <w:pPr>
        <w:pStyle w:val="Normal"/>
        <w:jc w:val="center"/>
        <w:rPr>
          <w:rFonts w:ascii="Arial" w:hAnsi="Arial"/>
          <w:b/>
          <w:bCs/>
          <w:sz w:val="20"/>
          <w:szCs w:val="20"/>
        </w:rPr>
      </w:pPr>
      <w:r>
        <w:rPr>
          <w:rFonts w:ascii="Arial" w:hAnsi="Arial"/>
          <w:b/>
          <w:bCs/>
          <w:sz w:val="20"/>
          <w:szCs w:val="20"/>
        </w:rPr>
      </w:r>
    </w:p>
    <w:p>
      <w:pPr>
        <w:pStyle w:val="Normal"/>
        <w:jc w:val="center"/>
        <w:rPr/>
      </w:pPr>
      <w:r>
        <w:rPr>
          <w:rFonts w:ascii="Arial" w:hAnsi="Arial"/>
          <w:b/>
          <w:bCs/>
          <w:sz w:val="20"/>
          <w:szCs w:val="20"/>
        </w:rPr>
        <w:t>MINISTÉRIO DA DEFESA</w:t>
      </w:r>
    </w:p>
    <w:p>
      <w:pPr>
        <w:pStyle w:val="Normal"/>
        <w:jc w:val="center"/>
        <w:rPr/>
      </w:pPr>
      <w:r>
        <w:rPr>
          <w:rFonts w:ascii="Arial" w:hAnsi="Arial"/>
          <w:b/>
          <w:bCs/>
          <w:sz w:val="20"/>
          <w:szCs w:val="20"/>
        </w:rPr>
        <w:t>EXÉRCITO BRASILEIRO</w:t>
      </w:r>
    </w:p>
    <w:p>
      <w:pPr>
        <w:pStyle w:val="Normal"/>
        <w:jc w:val="center"/>
        <w:rPr/>
      </w:pPr>
      <w:r>
        <w:rPr>
          <w:rFonts w:ascii="Arial" w:hAnsi="Arial"/>
          <w:b/>
          <w:bCs/>
          <w:color w:val="000000"/>
          <w:sz w:val="20"/>
          <w:szCs w:val="20"/>
        </w:rPr>
        <w:t>4ª BRIGADA DE INFANTARIA LEVE DE MONTANHA</w:t>
      </w:r>
    </w:p>
    <w:p>
      <w:pPr>
        <w:pStyle w:val="Normal"/>
        <w:jc w:val="center"/>
        <w:rPr/>
      </w:pPr>
      <w:r>
        <w:rPr>
          <w:rFonts w:ascii="Arial" w:hAnsi="Arial"/>
          <w:b/>
          <w:bCs/>
          <w:color w:val="000000"/>
          <w:sz w:val="20"/>
          <w:szCs w:val="20"/>
        </w:rPr>
        <w:t>(4ª Bda Estrt/1908)</w:t>
      </w:r>
    </w:p>
    <w:p>
      <w:pPr>
        <w:pStyle w:val="Normal"/>
        <w:spacing w:lineRule="auto" w:line="276" w:before="0" w:after="117"/>
        <w:ind w:hanging="0" w:right="-17"/>
        <w:jc w:val="center"/>
        <w:rPr>
          <w:rFonts w:ascii="Arial" w:hAnsi="Arial" w:cs="Arial"/>
          <w:b/>
          <w:bCs/>
          <w:color w:val="000000"/>
          <w:sz w:val="20"/>
          <w:szCs w:val="20"/>
        </w:rPr>
      </w:pPr>
      <w:r>
        <w:rPr>
          <w:rFonts w:cs="Arial" w:ascii="Arial" w:hAnsi="Arial"/>
          <w:b/>
          <w:bCs/>
          <w:color w:val="000000"/>
          <w:sz w:val="20"/>
          <w:szCs w:val="20"/>
        </w:rPr>
      </w:r>
    </w:p>
    <w:p>
      <w:pPr>
        <w:pStyle w:val="Normal"/>
        <w:spacing w:lineRule="auto" w:line="312" w:before="120" w:after="288"/>
        <w:jc w:val="center"/>
        <w:rPr>
          <w:rFonts w:ascii="Arial" w:hAnsi="Arial" w:cs="Arial"/>
          <w:bCs/>
          <w:color w:val="000000"/>
          <w:sz w:val="20"/>
          <w:szCs w:val="20"/>
        </w:rPr>
      </w:pPr>
      <w:r>
        <w:rPr>
          <w:rFonts w:cs="Arial" w:ascii="Arial" w:hAnsi="Arial"/>
          <w:b/>
          <w:bCs/>
          <w:color w:val="000000"/>
          <w:sz w:val="20"/>
          <w:szCs w:val="20"/>
        </w:rPr>
        <w:t>(Processo Administrativo n°</w:t>
      </w:r>
      <w:r>
        <w:rPr>
          <w:rFonts w:cs="Arial" w:ascii="Arial" w:hAnsi="Arial"/>
          <w:b/>
          <w:bCs/>
          <w:color w:val="000000"/>
          <w:sz w:val="20"/>
          <w:szCs w:val="20"/>
          <w:lang w:eastAsia="pt-BR"/>
        </w:rPr>
        <w:t xml:space="preserve"> 64336.001436/2025-73</w:t>
      </w:r>
      <w:r>
        <w:rPr>
          <w:rFonts w:cs="Arial" w:ascii="Arial" w:hAnsi="Arial"/>
          <w:b/>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000000"/>
        </w:rPr>
        <w:t>xx</w:t>
      </w:r>
      <w:r>
        <w:rPr>
          <w:bCs w:val="false"/>
          <w:color w:val="000000"/>
        </w:rPr>
        <w:t>/</w:t>
      </w:r>
      <w:r>
        <w:rPr>
          <w:bCs w:val="false"/>
          <w:i/>
          <w:iCs/>
          <w:color w:val="000000"/>
        </w:rPr>
        <w:t>xxxx</w:t>
      </w:r>
      <w:r>
        <w:rPr>
          <w:bCs w:val="false"/>
          <w:color w:val="000000"/>
        </w:rPr>
        <w:t>,</w:t>
      </w:r>
      <w:r>
        <w:rPr>
          <w:bCs w:val="false"/>
        </w:rPr>
        <w:t xml:space="preserve"> QUE FAZEM ENTRE SI A UNIÃO, POR INTERMÉDIO DO (A) ......................................................... E .............................................................  </w:t>
      </w:r>
    </w:p>
    <w:p>
      <w:pPr>
        <w:pStyle w:val="Normal"/>
        <w:spacing w:lineRule="auto" w:line="276" w:before="120" w:after="120"/>
        <w:ind w:firstLine="1418"/>
        <w:jc w:val="both"/>
        <w:rPr/>
      </w:pPr>
      <w:r>
        <w:rPr>
          <w:rFonts w:eastAsia="Arial" w:cs="Arial" w:ascii="Arial" w:hAnsi="Arial"/>
          <w:b w:val="false"/>
          <w:bCs w:val="false"/>
          <w:color w:val="auto"/>
          <w:sz w:val="20"/>
          <w:szCs w:val="20"/>
        </w:rPr>
        <w:t>A União por intermédio do COMANDO DA 4ª BRIGADA DE INFANTARIA LEVE DE MONTANHA, com sede na Rua Mariano Procópio, nº 970, Bairro Mariano Procópio, Juiz de Fora – MG, CEP 36.035-780, inscrito no CNPJ sob o nº 09.595.886/0001-38, neste ato representado(a) pelo Cel EDUARDO SARAIVA DIAS, Ordenador de Despesas do COMANDO DA 4ª BRIGADA DE INFANTARIA LEVE DE MONTANHA, nomeado pelo Boletim Interno nº 42, de 28 de fevereiro de 2025, do Cmdo 4ª Bda Inf L Mth, por meio da DIVISÃO DA AQUISIÇÕES, LICITAÇÕES E CONTRATOS</w:t>
      </w:r>
      <w:commentRangeStart w:id="0"/>
      <w:r>
        <w:rPr>
          <w:rFonts w:eastAsia="Arial" w:cs="Arial" w:ascii="Arial" w:hAnsi="Arial"/>
          <w:b w:val="false"/>
          <w:bCs w:val="false"/>
          <w:color w:themeColor="text1" w:val="000000"/>
          <w:sz w:val="20"/>
          <w:szCs w:val="20"/>
        </w:rPr>
        <w:t xml:space="preserve">, doravante denominado CONTRATANTE, e o(a) </w:t>
      </w:r>
      <w:r>
        <w:rPr>
          <w:rFonts w:eastAsia="Arial" w:cs="Arial" w:ascii="Arial" w:hAnsi="Arial"/>
          <w:b w:val="false"/>
          <w:bCs w:val="false"/>
          <w:i w:val="false"/>
          <w:iCs w:val="false"/>
          <w:color w:val="auto"/>
          <w:sz w:val="20"/>
          <w:szCs w:val="20"/>
        </w:rPr>
        <w:t xml:space="preserve">.............................., inscrito(a) no CNPJ/MF sob o nº ............................, sediado(a) na ..................................., doravante designado CONTRATADO, neste ato representado(a) por .................................. (nome e função no contratado), conforme atos constitutivos da empresa, </w:t>
      </w:r>
      <w:r>
        <w:rPr>
          <w:rFonts w:eastAsia="Arial" w:cs="Arial" w:ascii="Arial" w:hAnsi="Arial"/>
          <w:b w:val="false"/>
          <w:bCs w:val="false"/>
          <w:i w:val="false"/>
          <w:iCs w:val="false"/>
          <w:color w:val="auto"/>
          <w:sz w:val="20"/>
          <w:szCs w:val="20"/>
        </w:rPr>
      </w:r>
      <w:commentRangeEnd w:id="0"/>
      <w:r>
        <w:commentReference w:id="0"/>
      </w:r>
      <w:r>
        <w:rPr>
          <w:rFonts w:eastAsia="Arial" w:cs="Arial" w:ascii="Arial" w:hAnsi="Arial"/>
          <w:b w:val="false"/>
          <w:bCs w:val="false"/>
          <w:i w:val="false"/>
          <w:iCs w:val="false"/>
          <w:color w:val="auto"/>
          <w:sz w:val="20"/>
          <w:szCs w:val="20"/>
        </w:rPr>
        <w:t xml:space="preserve">tendo em vista o que consta no Processo nº </w:t>
      </w:r>
      <w:r>
        <w:rPr>
          <w:rFonts w:eastAsia="Arial" w:cs="Arial" w:ascii="Arial" w:hAnsi="Arial"/>
          <w:b w:val="false"/>
          <w:bCs w:val="false"/>
          <w:i w:val="false"/>
          <w:iCs w:val="false"/>
          <w:color w:val="000000"/>
          <w:sz w:val="20"/>
          <w:szCs w:val="20"/>
        </w:rPr>
        <w:t>64336.001436/2025-73</w:t>
      </w:r>
      <w:r>
        <w:rPr>
          <w:rFonts w:eastAsia="Arial" w:cs="Arial" w:ascii="Arial" w:hAnsi="Arial"/>
          <w:b w:val="false"/>
          <w:bCs w:val="false"/>
          <w:i w:val="false"/>
          <w:iCs w:val="false"/>
          <w:color w:val="auto"/>
          <w:sz w:val="20"/>
          <w:szCs w:val="20"/>
        </w:rPr>
        <w:t xml:space="preserve"> e em observância às disposições da </w:t>
      </w:r>
      <w:hyperlink r:id="rId3">
        <w:r>
          <w:rPr>
            <w:rStyle w:val="Hyperlink"/>
            <w:rFonts w:eastAsia="Arial" w:cs="Arial" w:ascii="Arial" w:hAnsi="Arial"/>
            <w:b w:val="false"/>
            <w:bCs w:val="false"/>
            <w:i w:val="false"/>
            <w:iCs w:val="false"/>
            <w:color w:val="auto"/>
            <w:sz w:val="20"/>
            <w:szCs w:val="20"/>
          </w:rPr>
          <w:t>Lei nº 14.133, de 1º de abril de 2021</w:t>
        </w:r>
      </w:hyperlink>
      <w:r>
        <w:rPr>
          <w:rFonts w:eastAsia="Arial" w:cs="Arial" w:ascii="Arial" w:hAnsi="Arial"/>
          <w:b w:val="false"/>
          <w:bCs w:val="false"/>
          <w:i w:val="false"/>
          <w:iCs w:val="false"/>
          <w:color w:val="auto"/>
          <w:sz w:val="20"/>
          <w:szCs w:val="20"/>
        </w:rPr>
        <w:t>, e demais legislação aplicável, resol</w:t>
      </w:r>
      <w:r>
        <w:rPr>
          <w:rFonts w:eastAsia="Arial" w:cs="Arial" w:ascii="Arial" w:hAnsi="Arial"/>
          <w:b w:val="false"/>
          <w:bCs w:val="false"/>
          <w:color w:themeColor="text1" w:val="000000"/>
          <w:sz w:val="20"/>
          <w:szCs w:val="20"/>
        </w:rPr>
        <w:t xml:space="preserve">vem celebrar o presente Termo de Contrato, decorrente </w:t>
      </w:r>
      <w:r>
        <w:rPr>
          <w:rFonts w:eastAsia="Arial" w:cs="Arial" w:ascii="Arial" w:hAnsi="Arial"/>
          <w:b w:val="false"/>
          <w:bCs w:val="false"/>
          <w:i w:val="false"/>
          <w:iCs w:val="false"/>
          <w:color w:val="auto"/>
          <w:sz w:val="20"/>
          <w:szCs w:val="20"/>
        </w:rPr>
        <w:t>do Pregão Eletrônico n</w:t>
      </w:r>
      <w:r>
        <w:rPr>
          <w:rFonts w:eastAsia="Arial" w:cs="Arial" w:ascii="Arial" w:hAnsi="Arial"/>
          <w:b w:val="false"/>
          <w:bCs w:val="false"/>
          <w:i w:val="false"/>
          <w:iCs w:val="false"/>
          <w:color w:val="auto"/>
          <w:kern w:val="0"/>
          <w:sz w:val="20"/>
          <w:szCs w:val="20"/>
          <w:lang w:val="pt-BR" w:eastAsia="pt-BR" w:bidi="ar-SA"/>
        </w:rPr>
        <w:t>º</w:t>
      </w:r>
      <w:r>
        <w:rPr>
          <w:rFonts w:eastAsia="Arial" w:cs="Arial" w:ascii="Arial" w:hAnsi="Arial"/>
          <w:b w:val="false"/>
          <w:bCs w:val="false"/>
          <w:i w:val="false"/>
          <w:iCs w:val="false"/>
          <w:color w:val="auto"/>
          <w:sz w:val="20"/>
          <w:szCs w:val="20"/>
        </w:rPr>
        <w:t xml:space="preserve"> </w:t>
      </w:r>
      <w:r>
        <w:rPr>
          <w:rFonts w:eastAsia="Arial" w:cs="Arial" w:ascii="Arial" w:hAnsi="Arial"/>
          <w:b w:val="false"/>
          <w:bCs w:val="false"/>
          <w:i w:val="false"/>
          <w:iCs w:val="false"/>
          <w:color w:val="auto"/>
          <w:kern w:val="0"/>
          <w:sz w:val="20"/>
          <w:szCs w:val="20"/>
          <w:lang w:val="pt-BR" w:eastAsia="pt-BR" w:bidi="ar-SA"/>
        </w:rPr>
        <w:t>90.014</w:t>
      </w:r>
      <w:r>
        <w:rPr>
          <w:rFonts w:eastAsia="Arial" w:cs="Arial" w:ascii="Arial" w:hAnsi="Arial"/>
          <w:b w:val="false"/>
          <w:bCs w:val="false"/>
          <w:i w:val="false"/>
          <w:iCs w:val="false"/>
          <w:color w:val="auto"/>
          <w:sz w:val="20"/>
          <w:szCs w:val="20"/>
        </w:rPr>
        <w:t>/</w:t>
      </w:r>
      <w:r>
        <w:rPr>
          <w:rFonts w:eastAsia="Arial" w:cs="Arial" w:ascii="Arial" w:hAnsi="Arial"/>
          <w:b w:val="false"/>
          <w:bCs w:val="false"/>
          <w:i w:val="false"/>
          <w:iCs w:val="false"/>
          <w:color w:val="auto"/>
          <w:sz w:val="20"/>
          <w:szCs w:val="20"/>
          <w:lang w:eastAsia="pt-BR"/>
        </w:rPr>
        <w:t>2025</w:t>
      </w:r>
      <w:r>
        <w:rPr>
          <w:rFonts w:eastAsia="Arial" w:cs="Arial" w:ascii="Arial" w:hAnsi="Arial"/>
          <w:b w:val="false"/>
          <w:bCs w:val="false"/>
          <w:i w:val="false"/>
          <w:iCs w:val="false"/>
          <w:color w:val="auto"/>
          <w:sz w:val="20"/>
          <w:szCs w:val="20"/>
        </w:rPr>
        <w:t>,</w:t>
      </w:r>
      <w:r>
        <w:rPr>
          <w:rFonts w:eastAsia="Arial" w:cs="Arial" w:ascii="Arial" w:hAnsi="Arial"/>
          <w:b w:val="false"/>
          <w:bCs w:val="false"/>
          <w:color w:themeColor="text1" w:val="000000"/>
          <w:sz w:val="20"/>
          <w:szCs w:val="20"/>
        </w:rPr>
        <w:t xml:space="preserve"> mediante as cláusulas e condições a seguir enunciadas.</w:t>
      </w:r>
    </w:p>
    <w:p>
      <w:pPr>
        <w:pStyle w:val="Nivel01"/>
        <w:numPr>
          <w:ilvl w:val="0"/>
          <w:numId w:val="3"/>
        </w:numPr>
        <w:ind w:hanging="360" w:left="0"/>
        <w:rPr/>
      </w:pPr>
      <w:r>
        <w:rPr/>
        <w:t>CLÁUSULA PRIMEIRA – OBJETO</w:t>
      </w:r>
    </w:p>
    <w:p>
      <w:pPr>
        <w:pStyle w:val="Nivel2"/>
        <w:numPr>
          <w:ilvl w:val="1"/>
          <w:numId w:val="127"/>
        </w:numPr>
        <w:ind w:hanging="0" w:left="0"/>
        <w:rPr/>
      </w:pPr>
      <w:r>
        <w:rPr/>
        <w:t xml:space="preserve">O objeto do presente instrumento é para eventual contratação de serviço </w:t>
      </w:r>
      <w:r>
        <w:rPr>
          <w:rFonts w:eastAsia="" w:cs="Arial"/>
          <w:color w:val="000000"/>
          <w:kern w:val="0"/>
          <w:sz w:val="20"/>
          <w:szCs w:val="20"/>
          <w:lang w:val="pt-BR" w:eastAsia="pt-BR" w:bidi="ar-SA"/>
        </w:rPr>
        <w:t>de recarga de extintores de incêndio</w:t>
      </w:r>
      <w:r>
        <w:rPr>
          <w:rFonts w:cs="Arial"/>
          <w:b w:val="false"/>
          <w:color w:val="000000"/>
          <w:sz w:val="20"/>
          <w:szCs w:val="20"/>
        </w:rPr>
        <w:t>, para atender as necessidades da 4ª Brigada de Infantaria Leve de Montanha, Organizações Militares Vinculadas e demais Órgãos Participantes</w:t>
      </w:r>
      <w:r>
        <w:rPr/>
        <w:t>, nas condições estabelecidas no Termo de Referência.</w:t>
      </w:r>
    </w:p>
    <w:p>
      <w:pPr>
        <w:pStyle w:val="Nivel2"/>
        <w:numPr>
          <w:ilvl w:val="1"/>
          <w:numId w:val="128"/>
        </w:numPr>
        <w:ind w:hanging="0" w:left="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5"/>
        <w:gridCol w:w="2555"/>
        <w:gridCol w:w="1278"/>
        <w:gridCol w:w="1134"/>
        <w:gridCol w:w="1557"/>
        <w:gridCol w:w="1281"/>
        <w:gridCol w:w="987"/>
      </w:tblGrid>
      <w:tr>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ITEM</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commentReference w:id="1"/>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9"/>
        </w:numPr>
        <w:ind w:hanging="0" w:left="0"/>
        <w:rPr/>
      </w:pPr>
      <w:r>
        <w:rPr/>
        <w:t>Vinculam esta contratação, independentemente de transcrição:</w:t>
      </w:r>
    </w:p>
    <w:p>
      <w:pPr>
        <w:pStyle w:val="Nivel3"/>
        <w:numPr>
          <w:ilvl w:val="2"/>
          <w:numId w:val="130"/>
        </w:numPr>
        <w:ind w:hanging="0" w:left="284"/>
        <w:rPr/>
      </w:pPr>
      <w:r>
        <w:rPr/>
        <w:t>O Termo de Referência;</w:t>
      </w:r>
    </w:p>
    <w:p>
      <w:pPr>
        <w:pStyle w:val="Nvel3-R"/>
        <w:numPr>
          <w:ilvl w:val="2"/>
          <w:numId w:val="131"/>
        </w:numPr>
        <w:ind w:hanging="0" w:left="284"/>
        <w:rPr>
          <w:i w:val="false"/>
          <w:i w:val="false"/>
          <w:iCs w:val="false"/>
          <w:color w:val="000000"/>
        </w:rPr>
      </w:pPr>
      <w:r>
        <w:rPr>
          <w:i w:val="false"/>
          <w:iCs w:val="false"/>
          <w:color w:val="000000"/>
        </w:rPr>
        <w:t>O Edital da Licitação</w:t>
      </w:r>
    </w:p>
    <w:p>
      <w:pPr>
        <w:pStyle w:val="Nivel3"/>
        <w:numPr>
          <w:ilvl w:val="2"/>
          <w:numId w:val="132"/>
        </w:numPr>
        <w:ind w:hanging="0" w:left="284"/>
        <w:rPr/>
      </w:pPr>
      <w:r>
        <w:rPr/>
        <w:t>A Proposta do CONTRATADO;</w:t>
      </w:r>
    </w:p>
    <w:p>
      <w:pPr>
        <w:pStyle w:val="Nivel3"/>
        <w:numPr>
          <w:ilvl w:val="2"/>
          <w:numId w:val="133"/>
        </w:numPr>
        <w:ind w:hanging="0" w:left="284"/>
        <w:rPr/>
      </w:pPr>
      <w:r>
        <w:rPr/>
        <w:t>Eventuais anexos dos documentos supracitados.</w:t>
      </w:r>
    </w:p>
    <w:p>
      <w:pPr>
        <w:pStyle w:val="Nivel01"/>
        <w:numPr>
          <w:ilvl w:val="0"/>
          <w:numId w:val="3"/>
        </w:numPr>
        <w:ind w:hanging="360" w:left="0"/>
        <w:rPr>
          <w:color w:themeColor="background1" w:val="FFFFFF"/>
        </w:rPr>
      </w:pPr>
      <w:r>
        <w:rPr/>
        <w:t xml:space="preserve">CLÁUSULA SEGUNDA – VIGÊNCIA E </w:t>
      </w:r>
      <w:commentRangeStart w:id="2"/>
      <w:r>
        <w:rPr/>
        <w:t>PRORROGAÇÃO</w:t>
      </w:r>
      <w:commentRangeEnd w:id="2"/>
      <w:r>
        <w:commentReference w:id="2"/>
      </w:r>
      <w:r>
        <w:rPr/>
      </w:r>
    </w:p>
    <w:p>
      <w:pPr>
        <w:pStyle w:val="Nvel2-Red"/>
        <w:numPr>
          <w:ilvl w:val="1"/>
          <w:numId w:val="134"/>
        </w:numPr>
        <w:ind w:hanging="0" w:left="0"/>
        <w:rPr>
          <w:i w:val="false"/>
          <w:i w:val="false"/>
          <w:iCs w:val="false"/>
          <w:color w:val="000000"/>
        </w:rPr>
      </w:pPr>
      <w:r>
        <w:rPr>
          <w:i w:val="false"/>
          <w:iCs w:val="false"/>
          <w:color w:val="000000"/>
        </w:rPr>
        <w:t xml:space="preserve">O prazo de vigência da contratação é de </w:t>
      </w:r>
      <w:r>
        <w:rPr>
          <w:b/>
          <w:bCs/>
          <w:i w:val="false"/>
          <w:iCs w:val="false"/>
          <w:color w:val="000000"/>
        </w:rPr>
        <w:t>…………………..</w:t>
      </w:r>
      <w:r>
        <w:rPr>
          <w:i w:val="false"/>
          <w:iCs w:val="false"/>
          <w:color w:val="000000"/>
        </w:rPr>
        <w:t xml:space="preserve">contados do(a) </w:t>
      </w:r>
      <w:r>
        <w:rPr>
          <w:b/>
          <w:bCs/>
          <w:i w:val="false"/>
          <w:iCs w:val="false"/>
          <w:color w:val="000000"/>
        </w:rPr>
        <w:t>………………………….</w:t>
      </w:r>
      <w:r>
        <w:rPr>
          <w:i w:val="false"/>
          <w:iCs w:val="false"/>
          <w:color w:val="000000"/>
        </w:rPr>
        <w:t>, na forma do artigo 105 da Lei n° 14.133, de 2021.</w:t>
      </w:r>
    </w:p>
    <w:p>
      <w:pPr>
        <w:pStyle w:val="Nvel2-Red"/>
        <w:numPr>
          <w:ilvl w:val="1"/>
          <w:numId w:val="135"/>
        </w:numPr>
        <w:ind w:hanging="0" w:left="0"/>
        <w:rPr>
          <w:i w:val="false"/>
          <w:i w:val="false"/>
          <w:iCs w:val="false"/>
          <w:color w:val="000000"/>
        </w:rPr>
      </w:pPr>
      <w:r>
        <w:rPr>
          <w:i w:val="false"/>
          <w:iCs w:val="false"/>
          <w:color w:val="000000"/>
        </w:rPr>
        <w:t>O CONTRATADO não tem direito subjetivo à prorrogação contratual.</w:t>
      </w:r>
    </w:p>
    <w:p>
      <w:pPr>
        <w:pStyle w:val="Nivel01"/>
        <w:numPr>
          <w:ilvl w:val="0"/>
          <w:numId w:val="3"/>
        </w:numPr>
        <w:ind w:hanging="360" w:left="0"/>
        <w:rPr>
          <w:color w:themeColor="background1" w:val="FFFFFF"/>
        </w:rPr>
      </w:pPr>
      <w:bookmarkStart w:id="0" w:name="_Hlk114497577"/>
      <w:bookmarkStart w:id="1" w:name="_Hlk114497502"/>
      <w:bookmarkStart w:id="2" w:name="_Hlk191044510"/>
      <w:bookmarkEnd w:id="0"/>
      <w:bookmarkEnd w:id="1"/>
      <w:bookmarkEnd w:id="2"/>
      <w:r>
        <w:rPr/>
        <w:t>CLÁUSULA TERCEIRA – MODELOS DE EXECUÇÃO E GESTÃO CONTRATUAIS</w:t>
      </w:r>
    </w:p>
    <w:p>
      <w:pPr>
        <w:pStyle w:val="Nivel2"/>
        <w:numPr>
          <w:ilvl w:val="1"/>
          <w:numId w:val="136"/>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3"/>
        </w:numPr>
        <w:ind w:hanging="360" w:left="0"/>
        <w:rPr>
          <w:color w:themeColor="background1" w:val="FFFFFF"/>
        </w:rPr>
      </w:pPr>
      <w:r>
        <w:rPr/>
        <w:t>CLÁUSULA QUARTA – SUBCONTRATAÇÃO</w:t>
      </w:r>
    </w:p>
    <w:p>
      <w:pPr>
        <w:pStyle w:val="Nivel2"/>
        <w:numPr>
          <w:ilvl w:val="1"/>
          <w:numId w:val="137"/>
        </w:numPr>
        <w:ind w:hanging="0" w:left="0"/>
        <w:rPr/>
      </w:pPr>
      <w:r>
        <w:rPr/>
        <w:t xml:space="preserve">As regras </w:t>
      </w:r>
      <w:r>
        <w:rPr>
          <w:color w:val="auto"/>
        </w:rPr>
        <w:t>sobre a subcontratação do objeto</w:t>
      </w:r>
      <w:r>
        <w:rPr/>
        <w:t xml:space="preserve"> são aquelas estabelecidas no Termo de Referência, anexo a este Contrato </w:t>
      </w:r>
    </w:p>
    <w:p>
      <w:pPr>
        <w:pStyle w:val="Nivel01"/>
        <w:numPr>
          <w:ilvl w:val="0"/>
          <w:numId w:val="3"/>
        </w:numPr>
        <w:ind w:hanging="360" w:left="0"/>
        <w:rPr>
          <w:color w:themeColor="background1" w:val="FFFFFF"/>
        </w:rPr>
      </w:pPr>
      <w:r>
        <w:rPr/>
        <w:t>CLÁUSULA QUINTA – PREÇO</w:t>
      </w:r>
    </w:p>
    <w:p>
      <w:pPr>
        <w:pStyle w:val="Nvel2-Red"/>
        <w:numPr>
          <w:ilvl w:val="1"/>
          <w:numId w:val="138"/>
        </w:numPr>
        <w:ind w:hanging="0" w:left="0"/>
        <w:rPr>
          <w:i w:val="false"/>
          <w:i w:val="false"/>
          <w:iCs w:val="false"/>
          <w:color w:val="000000"/>
        </w:rPr>
      </w:pPr>
      <w:r>
        <w:rPr>
          <w:i w:val="false"/>
          <w:iCs w:val="false"/>
          <w:color w:val="000000"/>
          <w:lang w:eastAsia="en-US"/>
        </w:rPr>
        <w:t>O valor total da contratação é de R$ ………….</w:t>
      </w:r>
    </w:p>
    <w:p>
      <w:pPr>
        <w:pStyle w:val="Nivel2"/>
        <w:numPr>
          <w:ilvl w:val="1"/>
          <w:numId w:val="139"/>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40"/>
        </w:numPr>
        <w:ind w:hanging="0" w:left="0"/>
        <w:rPr>
          <w:i w:val="false"/>
          <w:i w:val="false"/>
          <w:iCs w:val="false"/>
          <w:color w:val="000000"/>
        </w:rPr>
      </w:pPr>
      <w:commentRangeStart w:id="3"/>
      <w:r>
        <w:rPr>
          <w:i w:val="false"/>
          <w:iCs w:val="false"/>
          <w:color w:val="000000"/>
        </w:rPr>
        <w:t>O valor acima é meramente estimativo, de forma que os pagamentos devidos ao CONTRATADO dependerão dos quantitativos efetivamente fornecidos.</w:t>
      </w:r>
      <w:commentRangeEnd w:id="3"/>
      <w:r>
        <w:commentReference w:id="3"/>
      </w:r>
      <w:r>
        <w:rPr>
          <w:i w:val="false"/>
          <w:iCs w:val="false"/>
          <w:color w:val="000000"/>
        </w:rPr>
      </w:r>
    </w:p>
    <w:p>
      <w:pPr>
        <w:pStyle w:val="Nivel01"/>
        <w:numPr>
          <w:ilvl w:val="0"/>
          <w:numId w:val="3"/>
        </w:numPr>
        <w:ind w:hanging="360" w:left="0"/>
        <w:rPr>
          <w:color w:themeColor="background1" w:val="FFFFFF"/>
        </w:rPr>
      </w:pPr>
      <w:r>
        <w:rPr/>
        <w:t>CLÁUSULA SEXTA - PAGAMENTO</w:t>
      </w:r>
    </w:p>
    <w:p>
      <w:pPr>
        <w:pStyle w:val="Nivel2"/>
        <w:numPr>
          <w:ilvl w:val="1"/>
          <w:numId w:val="141"/>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
        </w:numPr>
        <w:ind w:hanging="360" w:left="0"/>
        <w:rPr>
          <w:color w:themeColor="background1" w:val="FFFFFF"/>
        </w:rPr>
      </w:pPr>
      <w:r>
        <w:rPr/>
        <w:t>CLÁUSULA SÉTIMA - REAJUSTE</w:t>
      </w:r>
    </w:p>
    <w:p>
      <w:pPr>
        <w:pStyle w:val="Nivel2"/>
        <w:numPr>
          <w:ilvl w:val="1"/>
          <w:numId w:val="142"/>
        </w:numPr>
        <w:ind w:hanging="0" w:left="0"/>
        <w:rPr/>
      </w:pPr>
      <w:r>
        <w:rPr/>
        <w:t>As regras acerca do reajuste do valor contratual são aquelas definidas no Termo de Referência, anexo a este Contrato.</w:t>
      </w:r>
    </w:p>
    <w:p>
      <w:pPr>
        <w:pStyle w:val="Nivel01"/>
        <w:numPr>
          <w:ilvl w:val="0"/>
          <w:numId w:val="3"/>
        </w:numPr>
        <w:ind w:hanging="360" w:left="0"/>
        <w:rPr>
          <w:color w:themeColor="background1" w:val="FFFFFF"/>
        </w:rPr>
      </w:pPr>
      <w:r>
        <w:rPr/>
        <w:t>CLÁUSULA OITAVA - OBRIGAÇÕES DO CONTRATANTE</w:t>
      </w:r>
    </w:p>
    <w:p>
      <w:pPr>
        <w:pStyle w:val="Nivel2"/>
        <w:numPr>
          <w:ilvl w:val="1"/>
          <w:numId w:val="143"/>
        </w:numPr>
        <w:ind w:hanging="0" w:left="0"/>
        <w:rPr>
          <w:bCs/>
        </w:rPr>
      </w:pPr>
      <w:r>
        <w:rPr/>
        <w:t>São obrigações do CONTRATANTE:</w:t>
      </w:r>
    </w:p>
    <w:p>
      <w:pPr>
        <w:pStyle w:val="Nivel3"/>
        <w:numPr>
          <w:ilvl w:val="2"/>
          <w:numId w:val="144"/>
        </w:numPr>
        <w:ind w:hanging="0" w:left="284"/>
        <w:rPr/>
      </w:pPr>
      <w:r>
        <w:rPr/>
        <w:t>Exigir o cumprimento de todas as obrigações assumidas pelo CONTRATADO, de acordo com o contrato e seus anexos;</w:t>
      </w:r>
    </w:p>
    <w:p>
      <w:pPr>
        <w:pStyle w:val="Nivel3"/>
        <w:numPr>
          <w:ilvl w:val="2"/>
          <w:numId w:val="145"/>
        </w:numPr>
        <w:ind w:hanging="0" w:left="284"/>
        <w:rPr/>
      </w:pPr>
      <w:r>
        <w:rPr/>
        <w:t>Receber o objeto no prazo e condições estabelecidas no Termo de Referência;</w:t>
      </w:r>
    </w:p>
    <w:p>
      <w:pPr>
        <w:pStyle w:val="Nivel3"/>
        <w:numPr>
          <w:ilvl w:val="2"/>
          <w:numId w:val="146"/>
        </w:numPr>
        <w:ind w:hanging="0" w:left="284"/>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47"/>
        </w:numPr>
        <w:ind w:hanging="0" w:left="284"/>
        <w:rPr/>
      </w:pPr>
      <w:r>
        <w:rPr/>
        <w:t>Acompanhar e fiscalizar a execução do contrato e o cumprimento das obrigações pelo CONTRATADO;</w:t>
      </w:r>
    </w:p>
    <w:p>
      <w:pPr>
        <w:pStyle w:val="Nivel3"/>
        <w:numPr>
          <w:ilvl w:val="2"/>
          <w:numId w:val="148"/>
        </w:numPr>
        <w:ind w:hanging="0" w:left="284"/>
        <w:rPr/>
      </w:pPr>
      <w:r>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149"/>
        </w:numPr>
        <w:ind w:hanging="0" w:left="284"/>
        <w:rPr/>
      </w:pPr>
      <w:r>
        <w:rPr/>
        <w:t>Efetuar o pagamento ao CONTRATADO do valor correspondente à execução do objeto, no prazo, forma e condições estabelecidos no presente Contrato e no Termo de Referência;</w:t>
      </w:r>
    </w:p>
    <w:p>
      <w:pPr>
        <w:pStyle w:val="Nivel3"/>
        <w:numPr>
          <w:ilvl w:val="2"/>
          <w:numId w:val="150"/>
        </w:numPr>
        <w:ind w:hanging="0" w:left="284"/>
        <w:rPr/>
      </w:pPr>
      <w:r>
        <w:rPr/>
        <w:t>Aplicar ao CONTRATADO as sanções previstas na lei e neste Contrato;</w:t>
      </w:r>
    </w:p>
    <w:p>
      <w:pPr>
        <w:pStyle w:val="Nivel3"/>
        <w:numPr>
          <w:ilvl w:val="2"/>
          <w:numId w:val="151"/>
        </w:numPr>
        <w:ind w:hanging="0" w:left="284"/>
        <w:rPr/>
      </w:pPr>
      <w:r>
        <w:rPr/>
        <w:t>Não praticar atos de ingerência na administração do CONTRATADO, tais como:</w:t>
      </w:r>
    </w:p>
    <w:p>
      <w:pPr>
        <w:pStyle w:val="Nivel4"/>
        <w:numPr>
          <w:ilvl w:val="3"/>
          <w:numId w:val="152"/>
        </w:numPr>
        <w:ind w:hanging="0" w:left="567"/>
        <w:rPr/>
      </w:pPr>
      <w:r>
        <w:rPr/>
        <w:t>indicar pessoas expressamente nominadas para executar direta ou indiretamente o objeto contratado;</w:t>
      </w:r>
    </w:p>
    <w:p>
      <w:pPr>
        <w:pStyle w:val="Nivel4"/>
        <w:numPr>
          <w:ilvl w:val="3"/>
          <w:numId w:val="153"/>
        </w:numPr>
        <w:ind w:hanging="0" w:left="567"/>
        <w:rPr/>
      </w:pPr>
      <w:r>
        <w:rPr/>
        <w:t>fixar salário inferior ao definido em lei ou em ato normativo a ser pago pelo CONTRATADO;</w:t>
      </w:r>
    </w:p>
    <w:p>
      <w:pPr>
        <w:pStyle w:val="Nivel4"/>
        <w:numPr>
          <w:ilvl w:val="3"/>
          <w:numId w:val="154"/>
        </w:numPr>
        <w:ind w:hanging="0" w:left="567"/>
        <w:rPr/>
      </w:pPr>
      <w:r>
        <w:rPr/>
        <w:t xml:space="preserve"> </w:t>
      </w:r>
      <w:r>
        <w:rPr/>
        <w:t>estabelecer vínculo de subordinação com funcionário do CONTRATADO;</w:t>
      </w:r>
    </w:p>
    <w:p>
      <w:pPr>
        <w:pStyle w:val="Nivel4"/>
        <w:numPr>
          <w:ilvl w:val="3"/>
          <w:numId w:val="155"/>
        </w:numPr>
        <w:ind w:hanging="0" w:left="567"/>
        <w:rPr/>
      </w:pPr>
      <w:r>
        <w:rPr/>
        <w:t>definir forma de pagamento mediante exclusivo reembolso dos salários pagos;</w:t>
      </w:r>
    </w:p>
    <w:p>
      <w:pPr>
        <w:pStyle w:val="Nivel4"/>
        <w:numPr>
          <w:ilvl w:val="3"/>
          <w:numId w:val="156"/>
        </w:numPr>
        <w:ind w:hanging="0" w:left="567"/>
        <w:rPr/>
      </w:pPr>
      <w:r>
        <w:rPr/>
        <w:t>demandar a funcionário do CONTRATADO a execução de tarefas fora do escopo do objeto da contratação; e</w:t>
      </w:r>
    </w:p>
    <w:p>
      <w:pPr>
        <w:pStyle w:val="Nivel4"/>
        <w:numPr>
          <w:ilvl w:val="3"/>
          <w:numId w:val="157"/>
        </w:numPr>
        <w:ind w:hanging="0" w:left="567"/>
        <w:rPr/>
      </w:pPr>
      <w:r>
        <w:rPr/>
        <w:t>prever exigências que constituam intervenção indevida da Administração na gestão interna do CONTRATADO.</w:t>
      </w:r>
    </w:p>
    <w:p>
      <w:pPr>
        <w:pStyle w:val="Nivel3"/>
        <w:numPr>
          <w:ilvl w:val="2"/>
          <w:numId w:val="158"/>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159"/>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60"/>
        </w:numPr>
        <w:ind w:hanging="0" w:left="567"/>
        <w:rPr>
          <w:i w:val="false"/>
          <w:i w:val="false"/>
          <w:iCs w:val="false"/>
        </w:rPr>
      </w:pPr>
      <w:r>
        <w:rPr>
          <w:i w:val="false"/>
          <w:iCs w:val="false"/>
        </w:rPr>
        <w:t xml:space="preserve"> </w:t>
      </w:r>
      <w:bookmarkStart w:id="3" w:name="_Ref128062899"/>
      <w:commentRangeStart w:id="4"/>
      <w:r>
        <w:rPr>
          <w:i w:val="false"/>
          <w:iCs w:val="false"/>
        </w:rPr>
        <w:t>A Administração terá o prazo de</w:t>
      </w:r>
      <w:r>
        <w:rPr>
          <w:i w:val="false"/>
          <w:iCs w:val="false"/>
          <w:color w:val="FF0000"/>
        </w:rPr>
        <w:t xml:space="preserve"> </w:t>
      </w:r>
      <w:r>
        <w:rPr>
          <w:i w:val="false"/>
          <w:iCs w:val="false"/>
          <w:color w:val="FF0000"/>
        </w:rPr>
        <w:t>30 (trinta) dias</w:t>
      </w:r>
      <w:r>
        <w:rPr>
          <w:i w:val="false"/>
          <w:iCs w:val="false"/>
          <w:color w:val="000000"/>
        </w:rPr>
        <w:t>, a contar da data do protocolo do requerimento para decidir, admitida a prorrogação motivada, por igual período.</w:t>
      </w:r>
      <w:bookmarkEnd w:id="3"/>
      <w:commentRangeEnd w:id="4"/>
      <w:r>
        <w:commentReference w:id="4"/>
      </w:r>
      <w:r>
        <w:rPr>
          <w:i w:val="false"/>
          <w:iCs w:val="false"/>
          <w:color w:val="000000"/>
        </w:rPr>
      </w:r>
    </w:p>
    <w:p>
      <w:pPr>
        <w:pStyle w:val="Nivel3"/>
        <w:numPr>
          <w:ilvl w:val="2"/>
          <w:numId w:val="161"/>
        </w:numPr>
        <w:ind w:hanging="0" w:left="284"/>
        <w:rPr>
          <w:i w:val="false"/>
          <w:i w:val="false"/>
          <w:iCs w:val="false"/>
        </w:rPr>
      </w:pPr>
      <w:commentRangeStart w:id="5"/>
      <w:r>
        <w:rPr>
          <w:i w:val="false"/>
          <w:iCs w:val="false"/>
          <w:color w:val="000000"/>
        </w:rPr>
        <w:t xml:space="preserve">Responder eventuais pedidos de reestabelecimento do equilíbrio econômico-financeiro feitos pelo CONTRATADO no prazo máximo de </w:t>
      </w:r>
      <w:r>
        <w:rPr>
          <w:i w:val="false"/>
          <w:iCs w:val="false"/>
          <w:color w:val="FF0000"/>
        </w:rPr>
        <w:t>30 (trinta) dias</w:t>
      </w:r>
      <w:r>
        <w:rPr>
          <w:i w:val="false"/>
          <w:iCs w:val="false"/>
          <w:color w:val="auto"/>
        </w:rPr>
        <w:t>;</w:t>
      </w:r>
      <w:commentRangeEnd w:id="5"/>
      <w:r>
        <w:commentReference w:id="5"/>
      </w:r>
      <w:r>
        <w:rPr>
          <w:i w:val="false"/>
          <w:iCs w:val="false"/>
          <w:color w:val="auto"/>
        </w:rPr>
      </w:r>
    </w:p>
    <w:p>
      <w:pPr>
        <w:pStyle w:val="Nvel3-R"/>
        <w:numPr>
          <w:ilvl w:val="2"/>
          <w:numId w:val="162"/>
        </w:numPr>
        <w:ind w:hanging="0" w:left="284"/>
        <w:rPr>
          <w:i w:val="false"/>
          <w:i w:val="false"/>
          <w:iCs w:val="false"/>
          <w:color w:val="000000"/>
        </w:rPr>
      </w:pPr>
      <w:bookmarkStart w:id="4" w:name="_Hlk114499841"/>
      <w:bookmarkEnd w:id="4"/>
      <w:commentRangeStart w:id="6"/>
      <w:r>
        <w:rPr>
          <w:i w:val="false"/>
          <w:iCs w:val="false"/>
          <w:color w:val="000000"/>
        </w:rPr>
        <w:t>Notificar os emitentes das garantias quanto ao início de processo administrativo para apuração de descumprimento de cláusulas contratuais</w:t>
      </w:r>
      <w:r>
        <w:rPr>
          <w:i w:val="false"/>
          <w:iCs w:val="false"/>
          <w:color w:val="000000"/>
        </w:rPr>
      </w:r>
      <w:commentRangeEnd w:id="6"/>
      <w:r>
        <w:commentReference w:id="6"/>
      </w:r>
      <w:r>
        <w:rPr>
          <w:i w:val="false"/>
          <w:iCs w:val="false"/>
          <w:color w:val="000000"/>
        </w:rPr>
        <w:t>;</w:t>
      </w:r>
    </w:p>
    <w:p>
      <w:pPr>
        <w:pStyle w:val="Nivel3"/>
        <w:numPr>
          <w:ilvl w:val="2"/>
          <w:numId w:val="163"/>
        </w:numPr>
        <w:ind w:hanging="0" w:left="284"/>
        <w:rPr/>
      </w:pPr>
      <w:r>
        <w:rPr/>
        <w:t>Comunicar o CONTRATADO na hipótese de posterior alteração do projeto pelo CONTRATANTE, no caso do art. 93, §2º, da Lei nº 14.133, de 2021.</w:t>
      </w:r>
    </w:p>
    <w:p>
      <w:pPr>
        <w:pStyle w:val="Nivel2"/>
        <w:numPr>
          <w:ilvl w:val="1"/>
          <w:numId w:val="164"/>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3"/>
        </w:numPr>
        <w:ind w:hanging="360" w:left="0"/>
        <w:rPr>
          <w:color w:themeColor="background1" w:val="FFFFFF"/>
        </w:rPr>
      </w:pPr>
      <w:commentRangeStart w:id="7"/>
      <w:r>
        <w:rPr/>
        <w:t xml:space="preserve">CLÁUSULA NONA - OBRIGAÇÕES DO CONTRATADO </w:t>
      </w:r>
      <w:commentRangeEnd w:id="7"/>
      <w:r>
        <w:commentReference w:id="7"/>
      </w:r>
      <w:r>
        <w:rPr/>
      </w:r>
    </w:p>
    <w:p>
      <w:pPr>
        <w:pStyle w:val="Nivel2"/>
        <w:numPr>
          <w:ilvl w:val="1"/>
          <w:numId w:val="165"/>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6"/>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167"/>
        </w:numPr>
        <w:ind w:hanging="0" w:left="0"/>
        <w:rPr/>
      </w:pPr>
      <w:commentRangeStart w:id="8"/>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8"/>
      <w:r>
        <w:commentReference w:id="8"/>
      </w:r>
      <w:r>
        <w:rPr/>
      </w:r>
    </w:p>
    <w:p>
      <w:pPr>
        <w:pStyle w:val="Nivel2"/>
        <w:numPr>
          <w:ilvl w:val="1"/>
          <w:numId w:val="168"/>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69"/>
        </w:numPr>
        <w:ind w:hanging="0" w:left="0"/>
        <w:rPr/>
      </w:pPr>
      <w:r>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170"/>
        </w:numPr>
        <w:ind w:hanging="0" w:left="284"/>
        <w:rPr/>
      </w:pPr>
      <w:r>
        <w:rPr/>
        <w:t>prova de regularidade relativa à Seguridade Social;</w:t>
      </w:r>
    </w:p>
    <w:p>
      <w:pPr>
        <w:pStyle w:val="Nivel3"/>
        <w:numPr>
          <w:ilvl w:val="2"/>
          <w:numId w:val="171"/>
        </w:numPr>
        <w:ind w:hanging="0" w:left="284"/>
        <w:rPr/>
      </w:pPr>
      <w:r>
        <w:rPr/>
        <w:t>certidão conjunta relativa aos tributos federais e à Dívida Ativa da União;</w:t>
      </w:r>
    </w:p>
    <w:p>
      <w:pPr>
        <w:pStyle w:val="Nivel3"/>
        <w:numPr>
          <w:ilvl w:val="2"/>
          <w:numId w:val="172"/>
        </w:numPr>
        <w:ind w:hanging="0" w:left="284"/>
        <w:rPr/>
      </w:pPr>
      <w:commentRangeStart w:id="9"/>
      <w:r>
        <w:rPr/>
        <w:t>certidões que comprovem a regularidade perante a Fazenda Municipal ou Distrital do domicílio ou sede do CONTRATADO</w:t>
      </w:r>
      <w:r>
        <w:rPr/>
      </w:r>
      <w:commentRangeEnd w:id="9"/>
      <w:r>
        <w:commentReference w:id="9"/>
      </w:r>
      <w:r>
        <w:rPr/>
        <w:t>;</w:t>
      </w:r>
    </w:p>
    <w:p>
      <w:pPr>
        <w:pStyle w:val="Nivel3"/>
        <w:numPr>
          <w:ilvl w:val="2"/>
          <w:numId w:val="173"/>
        </w:numPr>
        <w:ind w:hanging="0" w:left="284"/>
        <w:rPr/>
      </w:pPr>
      <w:r>
        <w:rPr/>
        <w:t>Certidão de Regularidade do FGTS – CRF; e</w:t>
      </w:r>
    </w:p>
    <w:p>
      <w:pPr>
        <w:pStyle w:val="Nivel3"/>
        <w:numPr>
          <w:ilvl w:val="2"/>
          <w:numId w:val="174"/>
        </w:numPr>
        <w:ind w:hanging="0" w:left="284"/>
        <w:rPr/>
      </w:pPr>
      <w:r>
        <w:rPr/>
        <w:t>Certidão Negativa de Débitos Trabalhistas – CNDT.</w:t>
      </w:r>
    </w:p>
    <w:p>
      <w:pPr>
        <w:pStyle w:val="Nivel2"/>
        <w:numPr>
          <w:ilvl w:val="1"/>
          <w:numId w:val="175"/>
        </w:numPr>
        <w:ind w:hanging="0" w:left="0"/>
        <w:rPr/>
      </w:pPr>
      <w:r>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76"/>
        </w:numPr>
        <w:ind w:hanging="0" w:left="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77"/>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78"/>
        </w:numPr>
        <w:ind w:hanging="0" w:left="0"/>
        <w:rPr/>
      </w:pPr>
      <w:r>
        <w:rPr/>
        <w:t xml:space="preserve">Manter, durante toda a vigência do contrato, em compatibilidade com as obrigações assumidas, todas as condições exigidas para habilitação na licitação </w:t>
      </w:r>
      <w:bookmarkStart w:id="5" w:name="_Hlk191049891"/>
      <w:r>
        <w:rPr/>
        <w:t>ou para qualificação na contratação direta;</w:t>
      </w:r>
      <w:bookmarkEnd w:id="5"/>
    </w:p>
    <w:p>
      <w:pPr>
        <w:pStyle w:val="Nivel2"/>
        <w:numPr>
          <w:ilvl w:val="1"/>
          <w:numId w:val="179"/>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80"/>
        </w:numPr>
        <w:ind w:hanging="0" w:left="0"/>
        <w:rPr/>
      </w:pPr>
      <w:r>
        <w:rPr/>
        <w:t>Comprovar a reserva de cargos a que se refere a cláusula acima, no prazo fixado pelo fiscal do contrato, com a indicação dos empregados que preencheram as referidas vagas;</w:t>
      </w:r>
    </w:p>
    <w:p>
      <w:pPr>
        <w:pStyle w:val="Nivel2"/>
        <w:numPr>
          <w:ilvl w:val="1"/>
          <w:numId w:val="181"/>
        </w:numPr>
        <w:ind w:hanging="0" w:left="0"/>
        <w:rPr/>
      </w:pPr>
      <w:r>
        <w:rPr/>
        <w:t>Guardar sigilo sobre todas as informações obtidas em decorrência do cumprimento do contrato;</w:t>
      </w:r>
    </w:p>
    <w:p>
      <w:pPr>
        <w:pStyle w:val="Nivel2"/>
        <w:numPr>
          <w:ilvl w:val="1"/>
          <w:numId w:val="182"/>
        </w:numPr>
        <w:ind w:hanging="0" w:left="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83"/>
        </w:numPr>
        <w:ind w:hanging="0" w:left="0"/>
        <w:rPr/>
      </w:pPr>
      <w:r>
        <w:rPr/>
        <w:t>Cumprir, além dos postulados legais vigentes de âmbito federal, estadual ou municipal, as normas de segurança do CONTRATANTE;</w:t>
      </w:r>
    </w:p>
    <w:p>
      <w:pPr>
        <w:pStyle w:val="Nivel2"/>
        <w:numPr>
          <w:ilvl w:val="1"/>
          <w:numId w:val="184"/>
        </w:numPr>
        <w:ind w:hanging="0" w:left="0"/>
        <w:rPr/>
      </w:pPr>
      <w:r>
        <w:rPr/>
        <w:t>Alocar os empregados necessários ao perfeito cumprimento das cláusulas deste contrato, com habilitação e conhecimento adequados;</w:t>
      </w:r>
    </w:p>
    <w:p>
      <w:pPr>
        <w:pStyle w:val="Nivel2"/>
        <w:numPr>
          <w:ilvl w:val="1"/>
          <w:numId w:val="185"/>
        </w:numPr>
        <w:ind w:hanging="0" w:left="0"/>
        <w:rPr/>
      </w:pPr>
      <w:r>
        <w:rPr/>
        <w:t>Prestar os serviços dentro dos parâmetros e rotinas estabelecidos;</w:t>
      </w:r>
    </w:p>
    <w:p>
      <w:pPr>
        <w:pStyle w:val="Nivel2"/>
        <w:numPr>
          <w:ilvl w:val="1"/>
          <w:numId w:val="186"/>
        </w:numPr>
        <w:ind w:hanging="0" w:left="0"/>
        <w:rPr/>
      </w:pPr>
      <w:r>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187"/>
        </w:numPr>
        <w:ind w:hanging="0" w:left="0"/>
        <w:rPr/>
      </w:pPr>
      <w:r>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188"/>
        </w:numPr>
        <w:ind w:hanging="0"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89"/>
        </w:numPr>
        <w:ind w:hanging="0" w:left="0"/>
        <w:rPr/>
      </w:pPr>
      <w:r>
        <w:rPr/>
        <w:t>Cumprir as normas de proteção ao trabalho, inclusive aquelas relativas à segurança e à saúde no trabalho;</w:t>
      </w:r>
    </w:p>
    <w:p>
      <w:pPr>
        <w:pStyle w:val="Nivel2"/>
        <w:numPr>
          <w:ilvl w:val="1"/>
          <w:numId w:val="190"/>
        </w:numPr>
        <w:ind w:hanging="0" w:left="0"/>
        <w:rPr/>
      </w:pPr>
      <w:r>
        <w:rPr/>
        <w:t>Não submeter os trabalhadores a condições degradantes de trabalho, jornadas exaustivas, servidão por dívida ou trabalhos forçados;</w:t>
      </w:r>
    </w:p>
    <w:p>
      <w:pPr>
        <w:pStyle w:val="Nivel2"/>
        <w:numPr>
          <w:ilvl w:val="1"/>
          <w:numId w:val="191"/>
        </w:numPr>
        <w:ind w:hanging="0" w:left="0"/>
        <w:rPr/>
      </w:pPr>
      <w:r>
        <w:rPr/>
        <w:t>Não permitir a utilização de qualquer trabalho do menor de dezesseis anos de idade, exceto na condição de aprendiz para os maiores de quatorze anos de idade, observada a legislação pertinente;</w:t>
      </w:r>
    </w:p>
    <w:p>
      <w:pPr>
        <w:pStyle w:val="Nivel2"/>
        <w:numPr>
          <w:ilvl w:val="1"/>
          <w:numId w:val="192"/>
        </w:numPr>
        <w:ind w:hanging="0" w:left="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193"/>
        </w:numPr>
        <w:ind w:hanging="0" w:left="0"/>
        <w:rPr/>
      </w:pPr>
      <w:r>
        <w:rPr/>
        <w:t>Receber e dar o tratamento adequado a denúncias de discriminação, violência e assédio no ambiente de trabalho;</w:t>
      </w:r>
    </w:p>
    <w:p>
      <w:pPr>
        <w:pStyle w:val="Nivel2"/>
        <w:numPr>
          <w:ilvl w:val="1"/>
          <w:numId w:val="194"/>
        </w:numPr>
        <w:ind w:hanging="0" w:left="0"/>
        <w:rPr/>
      </w:pPr>
      <w:r>
        <w:rPr/>
        <w:t>Manter preposto aceito pela Administração no local do serviço para representá-lo na execução do contrato;</w:t>
      </w:r>
    </w:p>
    <w:p>
      <w:pPr>
        <w:pStyle w:val="Nivel3"/>
        <w:numPr>
          <w:ilvl w:val="2"/>
          <w:numId w:val="195"/>
        </w:numPr>
        <w:ind w:hanging="0" w:left="284"/>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96"/>
        </w:numPr>
        <w:ind w:hanging="0" w:left="0"/>
        <w:rPr/>
      </w:pPr>
      <w:r>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197"/>
        </w:numPr>
        <w:ind w:hanging="0" w:left="0"/>
        <w:rPr/>
      </w:pPr>
      <w:r>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198"/>
        </w:numPr>
        <w:ind w:hanging="0" w:left="0"/>
        <w:rPr/>
      </w:pPr>
      <w:r>
        <w:rPr/>
        <w:t>Promover a guarda, manutenção e vigilância de materiais, ferramentas, e tudo o que for necessário à execução do objeto, durante a vigência do contrato;</w:t>
      </w:r>
    </w:p>
    <w:p>
      <w:pPr>
        <w:pStyle w:val="Nivel2"/>
        <w:numPr>
          <w:ilvl w:val="1"/>
          <w:numId w:val="199"/>
        </w:numPr>
        <w:ind w:hanging="0" w:left="0"/>
        <w:rPr/>
      </w:pPr>
      <w:r>
        <w:rPr/>
        <w:t>Assegurar aos seus trabalhadores ambiente de trabalho e instalações em condições adequadas ao cumprimento das normas de saúde, segurança e bem-estar no trabalho;</w:t>
      </w:r>
    </w:p>
    <w:p>
      <w:pPr>
        <w:pStyle w:val="Nivel2"/>
        <w:numPr>
          <w:ilvl w:val="1"/>
          <w:numId w:val="200"/>
        </w:numPr>
        <w:ind w:hanging="0" w:left="0"/>
        <w:rPr/>
      </w:pPr>
      <w:r>
        <w:rPr/>
        <w:t>Fornecer equipamentos de proteção individual (EPI) e equipamentos de proteção coletiva (EPC),quando for o caso;</w:t>
      </w:r>
    </w:p>
    <w:p>
      <w:pPr>
        <w:pStyle w:val="Nivel2"/>
        <w:numPr>
          <w:ilvl w:val="1"/>
          <w:numId w:val="201"/>
        </w:numPr>
        <w:ind w:hanging="0" w:left="0"/>
        <w:rPr/>
      </w:pPr>
      <w:r>
        <w:rPr/>
        <w:t>Garantir o acesso do CONTRATANTE, a qualquer tempo, ao local dos trabalhos, bem como aos documentos relativos à execução do contrato;</w:t>
      </w:r>
    </w:p>
    <w:p>
      <w:pPr>
        <w:pStyle w:val="Nivel2"/>
        <w:numPr>
          <w:ilvl w:val="1"/>
          <w:numId w:val="202"/>
        </w:numPr>
        <w:ind w:hanging="0" w:left="0"/>
        <w:rPr/>
      </w:pPr>
      <w:r>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203"/>
        </w:numPr>
        <w:ind w:hanging="0" w:left="0"/>
        <w:rPr/>
      </w:pPr>
      <w:bookmarkStart w:id="6" w:name="_Ref118293030"/>
      <w:bookmarkEnd w:id="6"/>
      <w:r>
        <w:rPr/>
        <w:t>Instruir seus empregados quanto à necessidade de acatar as normas internas da Administração;</w:t>
      </w:r>
    </w:p>
    <w:p>
      <w:pPr>
        <w:pStyle w:val="Nivel2"/>
        <w:numPr>
          <w:ilvl w:val="1"/>
          <w:numId w:val="204"/>
        </w:numPr>
        <w:ind w:hanging="0" w:left="0"/>
        <w:rPr/>
      </w:pPr>
      <w:r>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ivel01"/>
        <w:numPr>
          <w:ilvl w:val="0"/>
          <w:numId w:val="3"/>
        </w:numPr>
        <w:ind w:hanging="360" w:left="0"/>
        <w:rPr>
          <w:color w:themeColor="background1" w:val="FFFFFF"/>
        </w:rPr>
      </w:pPr>
      <w:bookmarkStart w:id="7" w:name="_Ref118293030_Copia_1"/>
      <w:bookmarkEnd w:id="7"/>
      <w:commentRangeStart w:id="10"/>
      <w:r>
        <w:rPr/>
        <w:t>CLÁUSULA DÉCIMA- OBRIGAÇÕES PERTINENTES À LGPD</w:t>
      </w:r>
      <w:commentRangeEnd w:id="10"/>
      <w:r>
        <w:commentReference w:id="10"/>
      </w:r>
      <w:r>
        <w:rPr/>
      </w:r>
    </w:p>
    <w:p>
      <w:pPr>
        <w:pStyle w:val="Nvel2-Red"/>
        <w:numPr>
          <w:ilvl w:val="1"/>
          <w:numId w:val="205"/>
        </w:numPr>
        <w:ind w:hanging="0" w:left="0"/>
        <w:rPr>
          <w:i w:val="false"/>
          <w:i w:val="false"/>
          <w:iCs w:val="false"/>
          <w:color w:val="000000"/>
        </w:rPr>
      </w:pPr>
      <w:r>
        <w:rPr>
          <w:i w:val="false"/>
          <w:iCs w:val="false"/>
          <w:color w:val="000000"/>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206"/>
        </w:numPr>
        <w:ind w:hanging="0" w:left="0"/>
        <w:rPr>
          <w:i w:val="false"/>
          <w:i w:val="false"/>
          <w:iCs w:val="false"/>
          <w:color w:val="000000"/>
        </w:rPr>
      </w:pPr>
      <w:r>
        <w:rPr>
          <w:i w:val="false"/>
          <w:iCs w:val="false"/>
          <w:color w:val="000000"/>
        </w:rPr>
        <w:t>Os dados obtidos somente poderão ser utilizados para as finalidades que justificaram seu acesso e de acordo com a boa-fé e com os princípios do art. 6º da LGPD.</w:t>
      </w:r>
    </w:p>
    <w:p>
      <w:pPr>
        <w:pStyle w:val="Nvel2-Red"/>
        <w:numPr>
          <w:ilvl w:val="1"/>
          <w:numId w:val="207"/>
        </w:numPr>
        <w:ind w:hanging="0" w:left="0"/>
        <w:rPr>
          <w:i w:val="false"/>
          <w:i w:val="false"/>
          <w:iCs w:val="false"/>
          <w:color w:val="000000"/>
        </w:rPr>
      </w:pPr>
      <w:r>
        <w:rPr>
          <w:i w:val="false"/>
          <w:iCs w:val="false"/>
          <w:color w:val="000000"/>
        </w:rPr>
        <w:t>É vedado o compartilhamento com terceiros dos dados obtidos fora das hipóteses permitidas em Lei.</w:t>
      </w:r>
    </w:p>
    <w:p>
      <w:pPr>
        <w:pStyle w:val="Nvel2-Red"/>
        <w:numPr>
          <w:ilvl w:val="1"/>
          <w:numId w:val="208"/>
        </w:numPr>
        <w:ind w:hanging="0" w:left="0"/>
        <w:rPr>
          <w:i w:val="false"/>
          <w:i w:val="false"/>
          <w:iCs w:val="false"/>
          <w:color w:val="000000"/>
        </w:rPr>
      </w:pPr>
      <w:r>
        <w:rPr>
          <w:i w:val="false"/>
          <w:iCs w:val="false"/>
          <w:color w:val="000000"/>
        </w:rPr>
        <w:t>A Administração deverá ser informada no prazo de 5 (cinco) dias úteis sobre todos os contratos de suboperação firmados ou que venham a ser celebrados pelo CONTRATADO.</w:t>
      </w:r>
    </w:p>
    <w:p>
      <w:pPr>
        <w:pStyle w:val="Nvel2-Red"/>
        <w:numPr>
          <w:ilvl w:val="1"/>
          <w:numId w:val="209"/>
        </w:numPr>
        <w:ind w:hanging="0" w:left="0"/>
        <w:rPr>
          <w:i w:val="false"/>
          <w:i w:val="false"/>
          <w:iCs w:val="false"/>
          <w:color w:val="000000"/>
        </w:rPr>
      </w:pPr>
      <w:r>
        <w:rPr>
          <w:i w:val="false"/>
          <w:iCs w:val="false"/>
          <w:color w:val="00000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210"/>
        </w:numPr>
        <w:ind w:hanging="0" w:left="0"/>
        <w:rPr>
          <w:i w:val="false"/>
          <w:i w:val="false"/>
          <w:iCs w:val="false"/>
          <w:color w:val="000000"/>
        </w:rPr>
      </w:pPr>
      <w:commentRangeStart w:id="11"/>
      <w:r>
        <w:rPr>
          <w:i w:val="false"/>
          <w:iCs w:val="false"/>
          <w:color w:val="000000"/>
        </w:rPr>
        <w:t xml:space="preserve">É dever do CONTRATADO orientar e treinar seus empregados sobre os deveres, requisitos e responsabilidades decorrentes da LGPD. </w:t>
      </w:r>
      <w:commentRangeEnd w:id="11"/>
      <w:r>
        <w:commentReference w:id="11"/>
      </w:r>
      <w:r>
        <w:rPr>
          <w:i w:val="false"/>
          <w:iCs w:val="false"/>
          <w:color w:val="000000"/>
        </w:rPr>
      </w:r>
    </w:p>
    <w:p>
      <w:pPr>
        <w:pStyle w:val="Nvel2-Red"/>
        <w:numPr>
          <w:ilvl w:val="1"/>
          <w:numId w:val="211"/>
        </w:numPr>
        <w:ind w:hanging="0" w:left="0"/>
        <w:rPr>
          <w:i w:val="false"/>
          <w:i w:val="false"/>
          <w:iCs w:val="false"/>
          <w:color w:val="000000"/>
        </w:rPr>
      </w:pPr>
      <w:r>
        <w:rPr>
          <w:i w:val="false"/>
          <w:iCs w:val="false"/>
          <w:color w:val="000000"/>
        </w:rPr>
        <w:t>O CONTRATADO deverá exigir de SUBOPERADORES e SUBCONTRATADOS o cumprimento dos deveres da presente cláusula, permanecendo integralmente responsável por garantir sua observância.</w:t>
      </w:r>
    </w:p>
    <w:p>
      <w:pPr>
        <w:pStyle w:val="Nvel2-Red"/>
        <w:numPr>
          <w:ilvl w:val="1"/>
          <w:numId w:val="212"/>
        </w:numPr>
        <w:ind w:hanging="0" w:left="0"/>
        <w:rPr>
          <w:i w:val="false"/>
          <w:i w:val="false"/>
          <w:iCs w:val="false"/>
          <w:color w:val="000000"/>
        </w:rPr>
      </w:pPr>
      <w:commentRangeStart w:id="12"/>
      <w:r>
        <w:rPr>
          <w:i w:val="false"/>
          <w:iCs w:val="false"/>
          <w:color w:val="000000"/>
        </w:rPr>
        <w:t xml:space="preserve">O CONTRATANTE poderá realizar diligência para aferir o cumprimento dessa cláusula, devendo o CONTRATADO atender prontamente eventuais pedidos de comprovação formulados. </w:t>
      </w:r>
      <w:commentRangeEnd w:id="12"/>
      <w:r>
        <w:commentReference w:id="12"/>
      </w:r>
      <w:r>
        <w:rPr>
          <w:i w:val="false"/>
          <w:iCs w:val="false"/>
          <w:color w:val="000000"/>
        </w:rPr>
      </w:r>
    </w:p>
    <w:p>
      <w:pPr>
        <w:pStyle w:val="Nvel2-Red"/>
        <w:numPr>
          <w:ilvl w:val="1"/>
          <w:numId w:val="213"/>
        </w:numPr>
        <w:ind w:hanging="0" w:left="0"/>
        <w:rPr>
          <w:i w:val="false"/>
          <w:i w:val="false"/>
          <w:iCs w:val="false"/>
          <w:color w:val="000000"/>
        </w:rPr>
      </w:pPr>
      <w:r>
        <w:rPr>
          <w:i w:val="false"/>
          <w:iCs w:val="false"/>
          <w:color w:val="000000"/>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14"/>
        </w:numPr>
        <w:ind w:hanging="0" w:left="0"/>
        <w:rPr>
          <w:i w:val="false"/>
          <w:i w:val="false"/>
          <w:iCs w:val="false"/>
          <w:color w:val="000000"/>
        </w:rPr>
      </w:pPr>
      <w:r>
        <w:rPr>
          <w:i w:val="false"/>
          <w:iCs w:val="false"/>
          <w:color w:val="00000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215"/>
        </w:numPr>
        <w:ind w:hanging="0" w:left="284"/>
        <w:rPr>
          <w:i w:val="false"/>
          <w:i w:val="false"/>
          <w:iCs w:val="false"/>
          <w:color w:val="000000"/>
        </w:rPr>
      </w:pPr>
      <w:r>
        <w:rPr>
          <w:i w:val="false"/>
          <w:iCs w:val="false"/>
          <w:color w:val="000000"/>
        </w:rPr>
        <w:t>Os referidos bancos de dados devem ser desenvolvidos em formato interoperável, a fim de garantir a reutilização desses dados pela Administração nas hipóteses previstas na LGPD.</w:t>
      </w:r>
    </w:p>
    <w:p>
      <w:pPr>
        <w:pStyle w:val="Nvel2-Red"/>
        <w:numPr>
          <w:ilvl w:val="1"/>
          <w:numId w:val="216"/>
        </w:numPr>
        <w:ind w:hanging="0" w:left="0"/>
        <w:rPr>
          <w:i w:val="false"/>
          <w:i w:val="false"/>
          <w:iCs w:val="false"/>
          <w:color w:val="000000"/>
        </w:rPr>
      </w:pPr>
      <w:r>
        <w:rPr>
          <w:i w:val="false"/>
          <w:iCs w:val="false"/>
          <w:color w:val="000000"/>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17"/>
        </w:numPr>
        <w:ind w:hanging="0" w:left="0"/>
        <w:rPr>
          <w:i w:val="false"/>
          <w:i w:val="false"/>
          <w:iCs w:val="false"/>
          <w:color w:val="000000"/>
        </w:rPr>
      </w:pPr>
      <w:r>
        <w:rPr>
          <w:i w:val="false"/>
          <w:iCs w:val="false"/>
          <w:color w:val="000000"/>
        </w:rPr>
        <w:t>Os contratos e convênios de que trata o § 1º do art. 26 da LGPD</w:t>
      </w:r>
      <w:commentRangeStart w:id="13"/>
      <w:r>
        <w:rPr>
          <w:i w:val="false"/>
          <w:iCs w:val="false"/>
          <w:color w:val="000000"/>
        </w:rPr>
        <w:t xml:space="preserve"> deverão ser comunicados à autoridade nacional.</w:t>
      </w:r>
      <w:commentRangeEnd w:id="13"/>
      <w:r>
        <w:commentReference w:id="13"/>
      </w:r>
      <w:r>
        <w:rPr>
          <w:i w:val="false"/>
          <w:iCs w:val="false"/>
          <w:color w:val="000000"/>
        </w:rPr>
      </w:r>
    </w:p>
    <w:p>
      <w:pPr>
        <w:pStyle w:val="Nivel01"/>
        <w:numPr>
          <w:ilvl w:val="0"/>
          <w:numId w:val="3"/>
        </w:numPr>
        <w:ind w:hanging="360" w:left="0"/>
        <w:rPr>
          <w:color w:themeColor="background1" w:val="FFFFFF"/>
        </w:rPr>
      </w:pPr>
      <w:r>
        <w:rPr/>
        <w:t>CLÁUSULA DÉCIMA PRIMEIRA – GARANTIA DE EXECUÇÃO</w:t>
      </w:r>
    </w:p>
    <w:p>
      <w:pPr>
        <w:pStyle w:val="Nvel2-Red"/>
        <w:numPr>
          <w:ilvl w:val="1"/>
          <w:numId w:val="218"/>
        </w:numPr>
        <w:ind w:hanging="0" w:left="0"/>
        <w:rPr>
          <w:i w:val="false"/>
          <w:i w:val="false"/>
          <w:iCs w:val="false"/>
          <w:color w:val="000000"/>
        </w:rPr>
      </w:pPr>
      <w:commentRangeStart w:id="14"/>
      <w:r>
        <w:rPr>
          <w:i w:val="false"/>
          <w:iCs w:val="false"/>
          <w:color w:val="000000"/>
        </w:rPr>
        <w:t>Não haverá exigência de garantia contratual da execução.</w:t>
      </w:r>
      <w:commentRangeEnd w:id="14"/>
      <w:r>
        <w:commentReference w:id="14"/>
      </w:r>
      <w:r>
        <w:rPr>
          <w:i w:val="false"/>
          <w:iCs w:val="false"/>
          <w:color w:val="000000"/>
        </w:rPr>
      </w:r>
    </w:p>
    <w:p>
      <w:pPr>
        <w:pStyle w:val="Nivel01"/>
        <w:numPr>
          <w:ilvl w:val="0"/>
          <w:numId w:val="3"/>
        </w:numPr>
        <w:ind w:hanging="360" w:left="0"/>
        <w:rPr>
          <w:color w:themeColor="background1" w:val="FFFFFF"/>
        </w:rPr>
      </w:pPr>
      <w:r>
        <w:rPr/>
        <w:t>CLÁUSULA DÉCIMA SEGUNDA – INFRAÇÕES E SANÇÕES ADMINISTRATIVAS</w:t>
      </w:r>
    </w:p>
    <w:p>
      <w:pPr>
        <w:pStyle w:val="Nivel2"/>
        <w:numPr>
          <w:ilvl w:val="1"/>
          <w:numId w:val="219"/>
        </w:numPr>
        <w:ind w:hanging="0" w:left="0"/>
        <w:rPr/>
      </w:pPr>
      <w:bookmarkStart w:id="8" w:name="_Ref169601460"/>
      <w:bookmarkStart w:id="9" w:name="_Ref169602136"/>
      <w:r>
        <w:rPr/>
        <w:t>As regras acerca de infrações e sanções administrativas referentes à execução do contrato são aquelas definidas no Termo de Referência, anexo a este Contrato.</w:t>
      </w:r>
      <w:bookmarkEnd w:id="8"/>
      <w:bookmarkEnd w:id="9"/>
    </w:p>
    <w:p>
      <w:pPr>
        <w:pStyle w:val="Nivel01"/>
        <w:numPr>
          <w:ilvl w:val="0"/>
          <w:numId w:val="3"/>
        </w:numPr>
        <w:ind w:hanging="360" w:left="0"/>
        <w:rPr>
          <w:color w:themeColor="background1" w:val="FFFFFF"/>
        </w:rPr>
      </w:pPr>
      <w:r>
        <w:rPr/>
        <w:t>CLÁUSULA DÉCIMA TERCEIRA – DA EXTINÇÃO CONTRATUAL</w:t>
      </w:r>
    </w:p>
    <w:p>
      <w:pPr>
        <w:pStyle w:val="Nvel2-Red"/>
        <w:numPr>
          <w:ilvl w:val="1"/>
          <w:numId w:val="220"/>
        </w:numPr>
        <w:ind w:hanging="0" w:left="0"/>
        <w:rPr>
          <w:i w:val="false"/>
          <w:i w:val="false"/>
          <w:iCs w:val="false"/>
          <w:color w:val="000000"/>
        </w:rPr>
      </w:pPr>
      <w:r>
        <w:rPr>
          <w:i w:val="false"/>
          <w:iCs w:val="false"/>
          <w:color w:val="000000"/>
        </w:rPr>
        <w:t>O contrato será extinto quando cumpridas as obrigações de ambas as partes, ainda que isso ocorra antes do prazo estipulado para tanto.</w:t>
      </w:r>
    </w:p>
    <w:p>
      <w:pPr>
        <w:pStyle w:val="Nvel2-Red"/>
        <w:numPr>
          <w:ilvl w:val="1"/>
          <w:numId w:val="221"/>
        </w:numPr>
        <w:ind w:hanging="0" w:left="0"/>
        <w:rPr>
          <w:i w:val="false"/>
          <w:i w:val="false"/>
          <w:iCs w:val="false"/>
          <w:color w:val="000000"/>
        </w:rPr>
      </w:pPr>
      <w:r>
        <w:rPr>
          <w:i w:val="false"/>
          <w:iCs w:val="false"/>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222"/>
        </w:numPr>
        <w:ind w:hanging="0" w:left="0"/>
        <w:rPr>
          <w:i w:val="false"/>
          <w:i w:val="false"/>
          <w:iCs w:val="false"/>
          <w:color w:val="000000"/>
        </w:rPr>
      </w:pPr>
      <w:r>
        <w:rPr>
          <w:i w:val="false"/>
          <w:iCs w:val="false"/>
          <w:color w:val="000000"/>
        </w:rPr>
        <w:t>Quando a não conclusão do contrato referida no item anterior decorrer de culpa do CONTRATADO:</w:t>
      </w:r>
    </w:p>
    <w:p>
      <w:pPr>
        <w:pStyle w:val="Nvel3-R"/>
        <w:numPr>
          <w:ilvl w:val="2"/>
          <w:numId w:val="223"/>
        </w:numPr>
        <w:ind w:hanging="0" w:left="284"/>
        <w:rPr>
          <w:i w:val="false"/>
          <w:i w:val="false"/>
          <w:iCs w:val="false"/>
          <w:color w:val="000000"/>
        </w:rPr>
      </w:pPr>
      <w:r>
        <w:rPr>
          <w:i w:val="false"/>
          <w:iCs w:val="false"/>
          <w:color w:val="000000"/>
        </w:rPr>
        <w:t>ficará ele constituído em mora, sendo-lhe aplicáveis as respectivas sanções administrativas; e</w:t>
      </w:r>
    </w:p>
    <w:p>
      <w:pPr>
        <w:pStyle w:val="Nvel3-R"/>
        <w:numPr>
          <w:ilvl w:val="2"/>
          <w:numId w:val="224"/>
        </w:numPr>
        <w:ind w:hanging="0" w:left="284"/>
        <w:rPr>
          <w:i w:val="false"/>
          <w:i w:val="false"/>
          <w:iCs w:val="false"/>
          <w:color w:val="000000"/>
        </w:rPr>
      </w:pPr>
      <w:r>
        <w:rPr>
          <w:i w:val="false"/>
          <w:iCs w:val="false"/>
          <w:color w:val="000000"/>
        </w:rPr>
        <w:t>poderá a Administração optar pela extinção do contrato e, nesse caso, adotará as medidas admitidas em lei para a continuidade da execução contratual</w:t>
      </w:r>
    </w:p>
    <w:p>
      <w:pPr>
        <w:pStyle w:val="Nivel2"/>
        <w:numPr>
          <w:ilvl w:val="1"/>
          <w:numId w:val="225"/>
        </w:numPr>
        <w:ind w:hanging="0" w:left="0"/>
        <w:rPr/>
      </w:pPr>
      <w:r>
        <w:rPr/>
        <w:t xml:space="preserve">O contrato poderá ser extinto antes de cumpridas as obrigações nele estipuladas, ou antes do prazo nele fixado, por algum dos motivos previstos no artigo 137 da Lei nº 14.133, de 2021, bem como amigavelmente, </w:t>
      </w:r>
      <w:r>
        <w:rPr>
          <w:color w:themeColor="text1" w:val="000000"/>
        </w:rPr>
        <w:t>assegurados o contraditório e a ampla defesa</w:t>
      </w:r>
      <w:r>
        <w:rPr/>
        <w:t>.</w:t>
      </w:r>
    </w:p>
    <w:p>
      <w:pPr>
        <w:pStyle w:val="Nivel2"/>
        <w:numPr>
          <w:ilvl w:val="1"/>
          <w:numId w:val="226"/>
        </w:numPr>
        <w:ind w:hanging="0" w:left="0"/>
        <w:rPr/>
      </w:pPr>
      <w:r>
        <w:rPr/>
        <w:t>Nesta hipótese, aplicam-se também os artigos 138 e 139 da mesma Lei.</w:t>
      </w:r>
    </w:p>
    <w:p>
      <w:pPr>
        <w:pStyle w:val="Nivel2"/>
        <w:numPr>
          <w:ilvl w:val="1"/>
          <w:numId w:val="227"/>
        </w:numPr>
        <w:ind w:hanging="0" w:left="0"/>
        <w:rPr/>
      </w:pPr>
      <w:r>
        <w:rPr/>
        <w:t>A alteração social ou a modificação da finalidade ou da estrutura da empresa não ensejará a extinção se não restringir sua capacidade de concluir o contrato.</w:t>
      </w:r>
    </w:p>
    <w:p>
      <w:pPr>
        <w:pStyle w:val="Nivel2"/>
        <w:numPr>
          <w:ilvl w:val="1"/>
          <w:numId w:val="228"/>
        </w:numPr>
        <w:ind w:hanging="0" w:left="0"/>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229"/>
        </w:numPr>
        <w:ind w:hanging="0" w:left="0"/>
        <w:rPr/>
      </w:pPr>
      <w:r>
        <w:rPr/>
        <w:t>O termo de extinção, sempre que possível, será precedido:</w:t>
      </w:r>
    </w:p>
    <w:p>
      <w:pPr>
        <w:pStyle w:val="Nivel3"/>
        <w:numPr>
          <w:ilvl w:val="2"/>
          <w:numId w:val="230"/>
        </w:numPr>
        <w:ind w:hanging="0" w:left="284"/>
        <w:rPr/>
      </w:pPr>
      <w:r>
        <w:rPr/>
        <w:t>Do balanço dos eventos contratuais já cumpridos ou parcialmente cumpridos;</w:t>
      </w:r>
    </w:p>
    <w:p>
      <w:pPr>
        <w:pStyle w:val="Nivel3"/>
        <w:numPr>
          <w:ilvl w:val="2"/>
          <w:numId w:val="231"/>
        </w:numPr>
        <w:ind w:hanging="0" w:left="284"/>
        <w:rPr/>
      </w:pPr>
      <w:r>
        <w:rPr/>
        <w:t>Da relação dos pagamentos já efetuados e ainda devidos;</w:t>
      </w:r>
    </w:p>
    <w:p>
      <w:pPr>
        <w:pStyle w:val="Nivel3"/>
        <w:numPr>
          <w:ilvl w:val="2"/>
          <w:numId w:val="232"/>
        </w:numPr>
        <w:ind w:hanging="0" w:left="284"/>
        <w:rPr/>
      </w:pPr>
      <w:r>
        <w:rPr/>
        <w:t>Das indenizações e multas.</w:t>
      </w:r>
    </w:p>
    <w:p>
      <w:pPr>
        <w:pStyle w:val="Nivel2"/>
        <w:numPr>
          <w:ilvl w:val="1"/>
          <w:numId w:val="233"/>
        </w:numPr>
        <w:ind w:hanging="0" w:left="0"/>
        <w:rPr/>
      </w:pPr>
      <w:r>
        <w:rPr/>
        <w:t>A extinção do contrato não configura óbice para o reconhecimento do desequilíbrio econômico-financeiro, hipótese em que será concedida indenização por meio de termo indenizatório</w:t>
      </w:r>
      <w:r>
        <w:rPr>
          <w:rStyle w:val="InternetLink"/>
        </w:rPr>
        <w:t>.</w:t>
      </w:r>
    </w:p>
    <w:p>
      <w:pPr>
        <w:pStyle w:val="Nivel2"/>
        <w:numPr>
          <w:ilvl w:val="1"/>
          <w:numId w:val="234"/>
        </w:numPr>
        <w:ind w:hanging="0" w:left="0"/>
        <w:rPr/>
      </w:pPr>
      <w:r>
        <w:rPr/>
        <w:t>O CONTRATANTE poderá ainda:</w:t>
      </w:r>
    </w:p>
    <w:p>
      <w:pPr>
        <w:pStyle w:val="Nivel3"/>
        <w:numPr>
          <w:ilvl w:val="2"/>
          <w:numId w:val="235"/>
        </w:numPr>
        <w:ind w:hanging="0" w:left="284"/>
        <w:rPr/>
      </w:pPr>
      <w:r>
        <w:rPr/>
        <w:t xml:space="preserve"> </w:t>
      </w:r>
      <w:r>
        <w:rPr/>
        <w:t>nos casos de obrigação de pagamento de multa pelo CONTRATADO, reter a garantia prestada a ser executada, conforme legislação que rege a matéria; e</w:t>
      </w:r>
    </w:p>
    <w:p>
      <w:pPr>
        <w:pStyle w:val="Nivel3"/>
        <w:numPr>
          <w:ilvl w:val="2"/>
          <w:numId w:val="236"/>
        </w:numPr>
        <w:ind w:hanging="0" w:left="284"/>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37"/>
        </w:numPr>
        <w:ind w:hanging="0" w:left="0"/>
        <w:rPr/>
      </w:pPr>
      <w:r>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bookmarkStart w:id="10" w:name="_Hlk191049977"/>
      <w:r>
        <w:rPr/>
        <w:t>ou na contratação direta</w:t>
      </w:r>
      <w:bookmarkEnd w:id="10"/>
      <w:r>
        <w:rPr/>
        <w:t>, ou atue na fiscalização ou na gestão do contrato, ou que deles seja cônjuge, companheiro ou parente em linha reta, colateral ou por afinidade, até o terceiro grau.</w:t>
      </w:r>
    </w:p>
    <w:p>
      <w:pPr>
        <w:pStyle w:val="Nivel01"/>
        <w:numPr>
          <w:ilvl w:val="0"/>
          <w:numId w:val="3"/>
        </w:numPr>
        <w:ind w:hanging="360" w:left="0"/>
        <w:rPr>
          <w:color w:themeColor="background1" w:val="FFFFFF"/>
        </w:rPr>
      </w:pPr>
      <w:r>
        <w:rPr/>
        <w:t>CLÁUSULA DÉCIMA QUARTA – ALTERAÇÕES</w:t>
      </w:r>
    </w:p>
    <w:p>
      <w:pPr>
        <w:pStyle w:val="Nivel2"/>
        <w:numPr>
          <w:ilvl w:val="1"/>
          <w:numId w:val="238"/>
        </w:numPr>
        <w:ind w:hanging="0" w:left="0"/>
        <w:rPr/>
      </w:pPr>
      <w:r>
        <w:rPr/>
        <w:t>Eventuais alterações contratuais reger-se-ão pela disciplina dos arts. 124 e seguintes da Lei nº 14.133, de 2021.</w:t>
      </w:r>
    </w:p>
    <w:p>
      <w:pPr>
        <w:pStyle w:val="Nivel2"/>
        <w:numPr>
          <w:ilvl w:val="1"/>
          <w:numId w:val="239"/>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40"/>
        </w:numPr>
        <w:ind w:hanging="0" w:left="0"/>
        <w:rPr/>
      </w:pPr>
      <w:commentRangeStart w:id="15"/>
      <w:r>
        <w:rPr/>
        <w:t>As supressões resultantes de acordo celebrado entre as partes contratantes poderão exceder o limite de 25% (vinte e cinco por cento) do valor inicial atualizado do contrato.</w:t>
      </w:r>
      <w:commentRangeEnd w:id="15"/>
      <w:r>
        <w:commentReference w:id="15"/>
      </w:r>
      <w:r>
        <w:rPr/>
      </w:r>
    </w:p>
    <w:p>
      <w:pPr>
        <w:pStyle w:val="Nivel2"/>
        <w:numPr>
          <w:ilvl w:val="1"/>
          <w:numId w:val="241"/>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242"/>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3"/>
        </w:numPr>
        <w:ind w:hanging="360" w:left="0"/>
        <w:rPr>
          <w:color w:themeColor="background1" w:val="FFFFFF"/>
        </w:rPr>
      </w:pPr>
      <w:r>
        <w:rPr/>
        <w:t>CLÁUSULA DÉCIMA QUINTA – DOTAÇÃO ORÇAMENTÁRIA</w:t>
      </w:r>
    </w:p>
    <w:p>
      <w:pPr>
        <w:pStyle w:val="Nivel2"/>
        <w:numPr>
          <w:ilvl w:val="1"/>
          <w:numId w:val="243"/>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Nota de empenho: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244"/>
        </w:numPr>
        <w:ind w:hanging="0" w:left="0"/>
        <w:rPr>
          <w:i w:val="false"/>
          <w:i w:val="false"/>
          <w:iCs w:val="false"/>
          <w:color w:val="000000"/>
        </w:rPr>
      </w:pPr>
      <w:commentRangeStart w:id="16"/>
      <w:r>
        <w:rPr>
          <w:i w:val="false"/>
          <w:iCs w:val="false"/>
          <w:color w:val="000000"/>
        </w:rPr>
        <w:t>A dotação relativa aos exercícios financeiros subsequentes será indicada após aprovação da Lei Orçamentária respectiva e liberação dos créditos correspondentes, mediante apostilamento.</w:t>
      </w:r>
      <w:commentRangeEnd w:id="16"/>
      <w:r>
        <w:commentReference w:id="16"/>
      </w:r>
      <w:r>
        <w:rPr>
          <w:i w:val="false"/>
          <w:iCs w:val="false"/>
          <w:color w:val="000000"/>
        </w:rPr>
      </w:r>
    </w:p>
    <w:p>
      <w:pPr>
        <w:pStyle w:val="Nivel01"/>
        <w:numPr>
          <w:ilvl w:val="0"/>
          <w:numId w:val="3"/>
        </w:numPr>
        <w:ind w:hanging="360" w:left="0"/>
        <w:rPr>
          <w:color w:themeColor="background1" w:val="FFFFFF"/>
        </w:rPr>
      </w:pPr>
      <w:r>
        <w:rPr/>
        <w:t>CLÁUSULA DÉCIMA SEXTA – DOS CASOS OMISSOS</w:t>
      </w:r>
    </w:p>
    <w:p>
      <w:pPr>
        <w:pStyle w:val="Nivel2"/>
        <w:numPr>
          <w:ilvl w:val="1"/>
          <w:numId w:val="245"/>
        </w:numPr>
        <w:ind w:hanging="0" w:left="0"/>
        <w:rPr/>
      </w:pPr>
      <w:commentRangeStart w:id="17"/>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17"/>
      <w:r>
        <w:commentReference w:id="17"/>
      </w:r>
      <w:r>
        <w:rPr/>
      </w:r>
    </w:p>
    <w:p>
      <w:pPr>
        <w:pStyle w:val="Nivel01"/>
        <w:numPr>
          <w:ilvl w:val="0"/>
          <w:numId w:val="3"/>
        </w:numPr>
        <w:ind w:hanging="360" w:left="0"/>
        <w:rPr>
          <w:color w:themeColor="background1" w:val="FFFFFF"/>
        </w:rPr>
      </w:pPr>
      <w:r>
        <w:rPr/>
        <w:t>CLÁUSULA DÉCIMA SÉTIMA – PUBLICAÇÃO</w:t>
      </w:r>
    </w:p>
    <w:p>
      <w:pPr>
        <w:pStyle w:val="Nivel2"/>
        <w:numPr>
          <w:ilvl w:val="1"/>
          <w:numId w:val="246"/>
        </w:numPr>
        <w:ind w:hanging="0" w:left="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3"/>
        </w:numPr>
        <w:ind w:hanging="360" w:left="0"/>
        <w:rPr>
          <w:color w:themeColor="background1" w:val="FFFFFF"/>
        </w:rPr>
      </w:pPr>
      <w:r>
        <w:rPr/>
        <w:t>CLÁUSULA DÉCIMA OITAVA– FORO</w:t>
      </w:r>
    </w:p>
    <w:p>
      <w:pPr>
        <w:pStyle w:val="Nivel2"/>
        <w:numPr>
          <w:ilvl w:val="1"/>
          <w:numId w:val="247"/>
        </w:numPr>
        <w:ind w:hanging="0" w:left="0"/>
        <w:rPr/>
      </w:pPr>
      <w:r>
        <w:rPr>
          <w:color w:val="auto"/>
          <w:lang w:eastAsia="en-US"/>
        </w:rPr>
        <w:t>Fica eleito o Foro da Justiça Federal em Juiz</w:t>
      </w:r>
      <w:r>
        <w:rPr>
          <w:rFonts w:cs="Arial"/>
          <w:color w:val="auto"/>
          <w:sz w:val="20"/>
          <w:szCs w:val="20"/>
          <w:lang w:eastAsia="en-US"/>
        </w:rPr>
        <w:t xml:space="preserve"> de Fora</w:t>
      </w:r>
      <w:r>
        <w:rPr/>
        <w:t xml:space="preserve">, para dirimir os litígios que decorrerem da execução deste Termo de Contrato que não puderem ser compostos pela conciliação, conforme </w:t>
      </w:r>
      <w:r>
        <w:fldChar w:fldCharType="begin"/>
      </w:r>
      <w:r>
        <w:rPr>
          <w:rStyle w:val="Hyperlink"/>
        </w:rPr>
        <w:instrText xml:space="preserve"> HYPERLINK "http://www.planalto.gov.br/ccivil_03/_ato2019-2022/2021/lei/L14133.htm" \l "art92%C2%A71"</w:instrText>
      </w:r>
      <w:r>
        <w:rPr>
          <w:rStyle w:val="Hyperlink"/>
        </w:rPr>
        <w:fldChar w:fldCharType="separate"/>
      </w:r>
      <w:r>
        <w:rPr>
          <w:rStyle w:val="Hyperlink"/>
        </w:rPr>
        <w:t>art. 92, §1º, da Lei nº 14.133/21</w:t>
      </w:r>
      <w:r>
        <w:rPr>
          <w:rStyle w:val="Hyperlink"/>
        </w:rPr>
        <w:fldChar w:fldCharType="end"/>
      </w:r>
      <w:r>
        <w:rPr/>
        <w:t>.</w:t>
      </w:r>
    </w:p>
    <w:p>
      <w:pPr>
        <w:pStyle w:val="Normal"/>
        <w:widowControl/>
        <w:numPr>
          <w:ilvl w:val="0"/>
          <w:numId w:val="0"/>
        </w:numPr>
        <w:suppressAutoHyphens w:val="true"/>
        <w:bidi w:val="0"/>
        <w:spacing w:lineRule="auto" w:line="276" w:before="0" w:after="0"/>
        <w:ind w:hanging="0" w:left="0" w:right="0"/>
        <w:jc w:val="center"/>
        <w:rPr>
          <w:highlight w:val="none"/>
          <w:shd w:fill="auto" w:val="clear"/>
        </w:rPr>
      </w:pPr>
      <w:r>
        <w:rPr>
          <w:rFonts w:cs="Arial" w:ascii="Arial" w:hAnsi="Arial"/>
          <w:i/>
          <w:iCs/>
          <w:color w:val="000000"/>
          <w:sz w:val="20"/>
          <w:szCs w:val="20"/>
          <w:shd w:fill="auto" w:val="clear"/>
        </w:rPr>
        <w:t xml:space="preserve">Quartel em …………………..., ………., …….. de ……………... de </w:t>
      </w:r>
      <w:r>
        <w:rPr>
          <w:rFonts w:eastAsia="Times New Roman" w:cs="Arial" w:ascii="Arial" w:hAnsi="Arial"/>
          <w:i/>
          <w:iCs/>
          <w:color w:val="000000"/>
          <w:kern w:val="0"/>
          <w:sz w:val="20"/>
          <w:szCs w:val="20"/>
          <w:shd w:fill="auto" w:val="clear"/>
          <w:lang w:val="pt-BR" w:eastAsia="pt-BR" w:bidi="ar-SA"/>
        </w:rPr>
        <w:t>202</w:t>
      </w:r>
      <w:r>
        <w:rPr>
          <w:rFonts w:eastAsia="Times New Roman" w:cs="Arial" w:ascii="Arial" w:hAnsi="Arial"/>
          <w:i/>
          <w:iCs/>
          <w:color w:val="000000"/>
          <w:kern w:val="0"/>
          <w:sz w:val="20"/>
          <w:szCs w:val="20"/>
          <w:shd w:fill="auto" w:val="clear"/>
          <w:lang w:val="pt-BR" w:eastAsia="pt-BR" w:bidi="ar-SA"/>
        </w:rPr>
        <w:t>6</w:t>
      </w:r>
      <w:r>
        <w:rPr>
          <w:rFonts w:cs="Arial" w:ascii="Arial" w:hAnsi="Arial"/>
          <w:i/>
          <w:iCs/>
          <w:color w:val="000000"/>
          <w:sz w:val="20"/>
          <w:szCs w:val="20"/>
          <w:shd w:fill="auto" w:val="clear"/>
        </w:rPr>
        <w:t>.</w:t>
      </w:r>
    </w:p>
    <w:p>
      <w:pPr>
        <w:pStyle w:val="Normal"/>
        <w:spacing w:lineRule="auto" w:line="312" w:before="120" w:after="288"/>
        <w:ind w:firstLine="567"/>
        <w:jc w:val="center"/>
        <w:rPr>
          <w:rFonts w:ascii="Arial" w:hAnsi="Arial" w:cs="Arial"/>
          <w:bCs/>
          <w:sz w:val="20"/>
          <w:szCs w:val="20"/>
        </w:rPr>
      </w:pPr>
      <w:commentRangeStart w:id="18"/>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i w:val="false"/>
          <w:i w:val="false"/>
          <w:iCs w:val="false"/>
          <w:color w:val="000000"/>
        </w:rPr>
      </w:pPr>
      <w:r>
        <w:rPr>
          <w:rFonts w:cs="Arial" w:ascii="Arial" w:hAnsi="Arial"/>
          <w:i w:val="false"/>
          <w:iCs w:val="false"/>
          <w:color w:val="000000"/>
          <w:sz w:val="20"/>
          <w:szCs w:val="20"/>
        </w:rPr>
        <w:t>TESTEMUNHAS:</w:t>
      </w:r>
    </w:p>
    <w:p>
      <w:pPr>
        <w:pStyle w:val="Normal"/>
        <w:spacing w:lineRule="auto" w:line="312" w:before="120" w:after="288"/>
        <w:ind w:firstLine="567"/>
        <w:rPr>
          <w:i w:val="false"/>
          <w:i w:val="false"/>
          <w:iCs w:val="false"/>
          <w:color w:val="000000"/>
        </w:rPr>
      </w:pPr>
      <w:r>
        <w:rPr>
          <w:rFonts w:cs="Arial" w:ascii="Arial" w:hAnsi="Arial"/>
          <w:i w:val="false"/>
          <w:iCs w:val="false"/>
          <w:color w:val="000000"/>
          <w:sz w:val="20"/>
          <w:szCs w:val="20"/>
        </w:rPr>
        <w:t>1-</w:t>
      </w:r>
    </w:p>
    <w:p>
      <w:pPr>
        <w:pStyle w:val="Normal"/>
        <w:spacing w:lineRule="auto" w:line="312" w:before="120" w:after="288"/>
        <w:ind w:firstLine="567"/>
        <w:rPr>
          <w:rFonts w:ascii="Arial" w:hAnsi="Arial"/>
          <w:sz w:val="20"/>
        </w:rPr>
      </w:pPr>
      <w:r>
        <w:rPr>
          <w:rFonts w:cs="Arial" w:ascii="Arial" w:hAnsi="Arial"/>
          <w:i w:val="false"/>
          <w:iCs w:val="false"/>
          <w:color w:val="000000"/>
          <w:sz w:val="20"/>
          <w:szCs w:val="20"/>
        </w:rPr>
        <w:t xml:space="preserve">2- </w:t>
      </w:r>
      <w:commentRangeEnd w:id="18"/>
      <w:r>
        <w:commentReference w:id="18"/>
      </w:r>
      <w:r>
        <w:rPr>
          <w:rFonts w:cs="Arial" w:ascii="Arial" w:hAnsi="Arial"/>
          <w:i w:val="false"/>
          <w:iCs w:val="false"/>
          <w:color w:val="000000"/>
          <w:sz w:val="20"/>
          <w:szCs w:val="20"/>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1" w:author="Autor" w:date="0-00-00T00:00:00Z" w:initials="A">
    <w:p>
      <w:pPr>
        <w:overflowPunct w:val="tru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2"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As disposições a seguir decorrem dos arts. </w:t>
      </w:r>
      <w:r>
        <w:rPr>
          <w:rFonts w:ascii="Liberation Serif" w:hAnsi="Liberation Serif" w:eastAsia="Segoe UI"/>
          <w:i/>
          <w:iCs/>
          <w:shd w:fill="FFFF00" w:val="clear"/>
          <w:lang w:val="en-US" w:eastAsia="en-US" w:bidi="en-US"/>
        </w:rPr>
        <w:t>105</w:t>
      </w:r>
      <w:r>
        <w:rPr>
          <w:rFonts w:ascii="Liberation Serif" w:hAnsi="Liberation Serif" w:eastAsia="Segoe UI"/>
          <w:i/>
          <w:iCs/>
          <w:lang w:val="en-US" w:eastAsia="en-US" w:bidi="en-US"/>
        </w:rPr>
        <w:t>,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esse subitem.</w:t>
      </w:r>
    </w:p>
  </w:comment>
  <w:comment w:id="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5"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disposição decorre do §4º, do art. 137, da Lei nº 14.133, de 2021.</w:t>
      </w:r>
    </w:p>
  </w:comment>
  <w:comment w:id="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9"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pPr>
        <w:overflowPunct w:val="false"/>
        <w:rPr/>
      </w:pPr>
      <w:r>
        <w:rPr>
          <w:rFonts w:ascii="Liberation Serif" w:hAnsi="Liberation Serif" w:eastAsia="Segoe UI"/>
          <w:i/>
          <w:iCs/>
          <w:color w:val="000000"/>
          <w:lang w:val="en-US" w:eastAsia="en-US" w:bidi="en-US"/>
        </w:rPr>
        <w:t xml:space="preserve">Via de regra, a prestação de serviços de modo geral é hipótese de incidência de tributação municipal (Imposto Sobre Serviços de Qualquer Natureza - ISSQN), conforme lista anexa </w:t>
      </w:r>
      <w:r>
        <w:rPr>
          <w:rFonts w:ascii="Liberation Serif" w:hAnsi="Liberation Serif" w:eastAsia="Segoe UI"/>
          <w:i/>
          <w:iCs/>
          <w:lang w:val="en-US" w:eastAsia="en-US" w:bidi="en-US"/>
        </w:rPr>
        <w:t>à Lei Complementar nº 116/2003</w:t>
      </w:r>
      <w:r>
        <w:rPr>
          <w:rFonts w:ascii="Liberation Serif" w:hAnsi="Liberation Serif" w:eastAsia="Segoe UI"/>
          <w:i/>
          <w:iCs/>
          <w:color w:val="000000"/>
          <w:lang w:val="en-US" w:eastAsia="en-US" w:bidi="en-US"/>
        </w:rPr>
        <w:t xml:space="preserve">.  </w:t>
      </w:r>
    </w:p>
    <w:p>
      <w:pPr>
        <w:overflowPunct w:val="false"/>
        <w:rPr/>
      </w:pPr>
      <w:r>
        <w:rPr>
          <w:rFonts w:ascii="Liberation Serif" w:hAnsi="Liberation Serif" w:eastAsia="Segoe UI"/>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rPr>
          <w:rFonts w:ascii="Liberation Serif" w:hAnsi="Liberation Serif" w:eastAsia="Segoe UI"/>
          <w:i/>
          <w:iCs/>
          <w:lang w:val="en-US" w:eastAsia="en-US" w:bidi="en-US"/>
        </w:rPr>
        <w:t>art. 155, II, da CF/88</w:t>
      </w:r>
      <w:r>
        <w:rPr>
          <w:rFonts w:ascii="Liberation Serif" w:hAnsi="Liberation Serif" w:eastAsia="Segoe UI"/>
          <w:i/>
          <w:iCs/>
          <w:color w:val="000000"/>
          <w:lang w:val="en-US" w:eastAsia="en-US" w:bidi="en-US"/>
        </w:rPr>
        <w:t xml:space="preserve">), bem como as exceções expressamente previstas na lista da referida LC 116/2003. </w:t>
      </w:r>
    </w:p>
  </w:comment>
  <w:comment w:id="10"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As cláusulas dessa seção são necessárias para cumprimento </w:t>
      </w:r>
      <w:hyperlink r:id="rId1">
        <w:r>
          <w:rPr>
            <w:rFonts w:ascii="Liberation Serif" w:hAnsi="Liberation Serif" w:eastAsia="Segoe UI"/>
            <w:i/>
            <w:iCs/>
            <w:color w:val="000000"/>
            <w:lang w:val="en-US" w:eastAsia="en-US" w:bidi="en-US"/>
          </w:rPr>
          <w:t>da Lei nº 13.709, de 14 de agosto de 2018 (LGPD</w:t>
        </w:r>
      </w:hyperlink>
      <w:r>
        <w:rPr>
          <w:rFonts w:ascii="Liberation Serif" w:hAnsi="Liberation Serif" w:eastAsia="Segoe UI"/>
          <w:i/>
          <w:iCs/>
          <w:color w:val="000000"/>
          <w:lang w:val="en-US" w:eastAsia="en-US" w:bidi="en-US"/>
        </w:rPr>
        <w:t>), caso a contratação envolva, de qualquer forma, o tratamento de dados pessoais, devendo ser incluída e ajustada nessa hipótese.</w:t>
      </w:r>
    </w:p>
    <w:p>
      <w:pPr>
        <w:overflowPunct w:val="false"/>
        <w:rPr/>
      </w:pPr>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pPr>
        <w:overflowPunct w:val="false"/>
        <w:rPr/>
      </w:pPr>
      <w:r>
        <w:rPr>
          <w:rFonts w:ascii="Liberation Serif" w:hAnsi="Liberation Serif" w:eastAsia="Segoe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pPr>
        <w:overflowPunct w:val="false"/>
        <w:rPr/>
      </w:pPr>
      <w:r>
        <w:rPr>
          <w:rFonts w:ascii="Liberation Serif" w:hAnsi="Liberation Serif" w:eastAsia="Segoe UI"/>
          <w:i/>
          <w:iCs/>
          <w:color w:val="000000"/>
          <w:lang w:val="en-US" w:eastAsia="en-US" w:bidi="en-US"/>
        </w:rPr>
        <w:t>O tema deve ser avaliado pela Administração com base nos riscos da contratação em relação aos dados pessoais eventualmente envolvidos.</w:t>
      </w:r>
    </w:p>
  </w:comment>
  <w:comment w:id="1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2"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13"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1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Fica a critério da Administração exigir, ou não, a garantia (salvo nos casos em que consta em norma a obrigatoriedade de sua exigência). Exigindo, deve haver previsão no edital </w:t>
      </w:r>
      <w:r>
        <w:rPr>
          <w:rFonts w:ascii="Liberation Serif" w:hAnsi="Liberation Serif" w:eastAsia="Segoe UI"/>
          <w:i/>
          <w:iCs/>
          <w:color w:val="000000"/>
          <w:shd w:fill="FFFF00" w:val="clear"/>
          <w:lang w:val="en-US" w:eastAsia="en-US" w:bidi="en-US"/>
        </w:rPr>
        <w:t xml:space="preserve">ou aviso de contratação direta </w:t>
      </w:r>
      <w:r>
        <w:rPr>
          <w:rFonts w:ascii="Liberation Serif" w:hAnsi="Liberation Serif" w:eastAsia="Segoe UI"/>
          <w:i/>
          <w:iCs/>
          <w:color w:val="000000"/>
          <w:lang w:val="en-US" w:eastAsia="en-US" w:bidi="en-US"/>
        </w:rPr>
        <w:t xml:space="preserve"> e no contrato. Não exigindo, deve fazer constar a previsão, e justificar as razões para essa decisão, considerando os estudos preliminares e a análise de riscos feita para a contratação. </w:t>
      </w:r>
    </w:p>
  </w:comment>
  <w:comment w:id="15"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lang w:val="en-US" w:eastAsia="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pPr>
        <w:overflowPunct w:val="false"/>
        <w:rPr/>
      </w:pPr>
      <w:r>
        <w:rPr>
          <w:rFonts w:ascii="Liberation Serif" w:hAnsi="Liberation Serif" w:eastAsia="Segoe UI"/>
          <w:i/>
          <w:iCs/>
          <w:lang w:val="en-US" w:eastAsia="en-US" w:bidi="en-US"/>
        </w:rPr>
        <w:t> </w:t>
      </w:r>
    </w:p>
    <w:p>
      <w:pPr>
        <w:overflowPunct w:val="false"/>
        <w:rPr/>
      </w:pPr>
      <w:r>
        <w:rPr>
          <w:rFonts w:ascii="Liberation Serif" w:hAnsi="Liberation Serif" w:eastAsia="Segoe UI"/>
          <w:i/>
          <w:iCs/>
          <w:lang w:val="en-US" w:eastAsia="en-US" w:bidi="en-US"/>
        </w:rPr>
        <w:t xml:space="preserve">"36.  Diante de tudo quanto exposto, conclui-se ser possível a </w:t>
      </w:r>
      <w:r>
        <w:rPr>
          <w:rFonts w:ascii="Liberation Serif" w:hAnsi="Liberation Serif" w:eastAsia="Segoe UI"/>
          <w:b/>
          <w:bCs/>
          <w:i/>
          <w:iCs/>
          <w:lang w:val="en-US" w:eastAsia="en-US" w:bidi="en-US"/>
        </w:rPr>
        <w:t>supressão</w:t>
      </w:r>
      <w:r>
        <w:rPr>
          <w:rFonts w:ascii="Liberation Serif" w:hAnsi="Liberation Serif" w:eastAsia="Segoe UI"/>
          <w:i/>
          <w:iCs/>
          <w:lang w:val="en-US" w:eastAsia="en-US" w:bidi="en-US"/>
        </w:rPr>
        <w:t xml:space="preserve"> </w:t>
      </w:r>
      <w:r>
        <w:rPr>
          <w:rFonts w:ascii="Liberation Serif" w:hAnsi="Liberation Serif" w:eastAsia="Segoe UI"/>
          <w:b/>
          <w:bCs/>
          <w:i/>
          <w:iCs/>
          <w:lang w:val="en-US" w:eastAsia="en-US" w:bidi="en-US"/>
        </w:rPr>
        <w:t xml:space="preserve">parcial consensual de contrato administrativo em percentual superior àqueles estabelecidos pelo art. 125 da Lei 14.133/2021. </w:t>
      </w:r>
    </w:p>
    <w:p>
      <w:pPr>
        <w:overflowPunct w:val="false"/>
        <w:rPr/>
      </w:pPr>
      <w:r>
        <w:rPr>
          <w:rFonts w:ascii="Liberation Serif" w:hAnsi="Liberation Serif" w:eastAsia="Segoe UI"/>
          <w:i/>
          <w:iCs/>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pPr>
        <w:overflowPunct w:val="false"/>
        <w:rPr/>
      </w:pPr>
      <w:r>
        <w:rPr>
          <w:rFonts w:ascii="Liberation Serif" w:hAnsi="Liberation Serif" w:eastAsia="Segoe UI"/>
          <w:i/>
          <w:iCs/>
          <w:lang w:val="en-US" w:eastAsia="en-US" w:bidi="en-US"/>
        </w:rPr>
        <w:t>38. Sugere-se, ainda, veicular, no edital da licitação, a possibilidade de supressão do contrato administrativo de maneira consensual em percentual superior ao estabelecido no art. 125 da Lei 14.133/2021."</w:t>
      </w:r>
    </w:p>
  </w:comment>
  <w:comment w:id="1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1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8" w:author="Autor" w:date="0-00-00T00:00:00Z" w:initials="A">
    <w:p>
      <w:pPr>
        <w:overflowPunct w:val="tru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ascii="Liberation Serif" w:hAnsi="Liberation Serif" w:eastAsia="Segoe UI"/>
          <w:i/>
          <w:iCs/>
          <w:u w:val="single"/>
          <w:lang w:val="en-US" w:eastAsia="en-US" w:bidi="en-US"/>
        </w:rPr>
        <w:t>dispensada a assinatura de testemunhas quando sua integridade for conferida por provedor de assinatura</w:t>
      </w:r>
      <w:r>
        <w:rPr>
          <w:rFonts w:ascii="Liberation Serif" w:hAnsi="Liberation Serif" w:eastAsia="Segoe UI"/>
          <w:i/>
          <w:iCs/>
          <w:lang w:val="en-US" w:eastAsia="en-US" w:bidi="en-US"/>
        </w:rPr>
        <w:t>”.</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i/>
          <w:iCs/>
          <w:lang w:val="en-US" w:eastAsia="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sz w:val="14"/>
          </w:rPr>
        </w:pPr>
        <w:r>
          <w:rPr>
            <w:rFonts w:cs="Arial" w:ascii="Arial" w:hAnsi="Arial"/>
            <w:sz w:val="14"/>
            <w:szCs w:val="14"/>
          </w:rPr>
          <w:t>Modelo de Termo de Contrato - Licitação e Contratação Direta - Serviços sem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rPr>
            <w:rFonts w:ascii="Arial" w:hAnsi="Arial"/>
            <w:sz w:val="14"/>
          </w:rPr>
        </w:pPr>
        <w:r>
          <w:rPr>
            <w:rFonts w:cs="Arial" w:ascii="Arial" w:hAnsi="Arial"/>
            <w:sz w:val="14"/>
            <w:szCs w:val="14"/>
          </w:rPr>
          <w:t xml:space="preserve">Atualização: SET/2025 </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sz w:val="14"/>
          </w:rPr>
        </w:pPr>
        <w:r>
          <w:rPr>
            <w:rFonts w:cs="Arial" w:ascii="Arial" w:hAnsi="Arial"/>
            <w:sz w:val="14"/>
            <w:szCs w:val="14"/>
          </w:rPr>
          <w:t>Modelo de Termo de Contrato - Licitação e Contratação Direta - Serviços sem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rPr>
            <w:rFonts w:ascii="Arial" w:hAnsi="Arial"/>
            <w:sz w:val="14"/>
          </w:rPr>
        </w:pPr>
        <w:r>
          <w:rPr>
            <w:rFonts w:cs="Arial" w:ascii="Arial" w:hAnsi="Arial"/>
            <w:sz w:val="14"/>
            <w:szCs w:val="14"/>
          </w:rPr>
          <w:t xml:space="preserve">Atualização: SET/2025 </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MINUTA </w:t>
    </w:r>
    <w:r>
      <w:rPr>
        <w:rFonts w:cs="Arial" w:ascii="Arial" w:hAnsi="Arial"/>
        <w:sz w:val="20"/>
        <w:szCs w:val="20"/>
      </w:rPr>
      <w:t xml:space="preserve">TERMO DE CONTRATO ADMINISTRATIVO Nº </w:t>
    </w:r>
    <w:r>
      <w:rPr>
        <w:rFonts w:cs="Arial" w:ascii="Arial" w:hAnsi="Arial"/>
        <w:i/>
        <w:iCs/>
        <w:color w:val="00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MINUTA </w:t>
    </w:r>
    <w:r>
      <w:rPr>
        <w:rFonts w:cs="Arial" w:ascii="Arial" w:hAnsi="Arial"/>
        <w:sz w:val="20"/>
        <w:szCs w:val="20"/>
      </w:rPr>
      <w:t xml:space="preserve">TERMO DE CONTRATO ADMINISTRATIVO Nº </w:t>
    </w:r>
    <w:r>
      <w:rPr>
        <w:rFonts w:cs="Arial" w:ascii="Arial" w:hAnsi="Arial"/>
        <w:i/>
        <w:iCs/>
        <w:color w:val="00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 w:numId="150">
    <w:abstractNumId w:val="3"/>
  </w:num>
  <w:num w:numId="151">
    <w:abstractNumId w:val="3"/>
  </w:num>
  <w:num w:numId="152">
    <w:abstractNumId w:val="3"/>
  </w:num>
  <w:num w:numId="153">
    <w:abstractNumId w:val="3"/>
  </w:num>
  <w:num w:numId="154">
    <w:abstractNumId w:val="3"/>
  </w:num>
  <w:num w:numId="155">
    <w:abstractNumId w:val="3"/>
  </w:num>
  <w:num w:numId="156">
    <w:abstractNumId w:val="3"/>
  </w:num>
  <w:num w:numId="157">
    <w:abstractNumId w:val="3"/>
  </w:num>
  <w:num w:numId="158">
    <w:abstractNumId w:val="3"/>
  </w:num>
  <w:num w:numId="159">
    <w:abstractNumId w:val="3"/>
  </w:num>
  <w:num w:numId="160">
    <w:abstractNumId w:val="3"/>
  </w:num>
  <w:num w:numId="161">
    <w:abstractNumId w:val="3"/>
  </w:num>
  <w:num w:numId="162">
    <w:abstractNumId w:val="3"/>
  </w:num>
  <w:num w:numId="163">
    <w:abstractNumId w:val="3"/>
  </w:num>
  <w:num w:numId="164">
    <w:abstractNumId w:val="3"/>
  </w:num>
  <w:num w:numId="165">
    <w:abstractNumId w:val="3"/>
  </w:num>
  <w:num w:numId="166">
    <w:abstractNumId w:val="3"/>
  </w:num>
  <w:num w:numId="167">
    <w:abstractNumId w:val="3"/>
  </w:num>
  <w:num w:numId="168">
    <w:abstractNumId w:val="3"/>
  </w:num>
  <w:num w:numId="169">
    <w:abstractNumId w:val="3"/>
  </w:num>
  <w:num w:numId="170">
    <w:abstractNumId w:val="3"/>
  </w:num>
  <w:num w:numId="171">
    <w:abstractNumId w:val="3"/>
  </w:num>
  <w:num w:numId="172">
    <w:abstractNumId w:val="3"/>
  </w:num>
  <w:num w:numId="173">
    <w:abstractNumId w:val="3"/>
  </w:num>
  <w:num w:numId="174">
    <w:abstractNumId w:val="3"/>
  </w:num>
  <w:num w:numId="175">
    <w:abstractNumId w:val="3"/>
  </w:num>
  <w:num w:numId="176">
    <w:abstractNumId w:val="3"/>
  </w:num>
  <w:num w:numId="177">
    <w:abstractNumId w:val="3"/>
  </w:num>
  <w:num w:numId="178">
    <w:abstractNumId w:val="3"/>
  </w:num>
  <w:num w:numId="179">
    <w:abstractNumId w:val="3"/>
  </w:num>
  <w:num w:numId="180">
    <w:abstractNumId w:val="3"/>
  </w:num>
  <w:num w:numId="181">
    <w:abstractNumId w:val="3"/>
  </w:num>
  <w:num w:numId="182">
    <w:abstractNumId w:val="3"/>
  </w:num>
  <w:num w:numId="183">
    <w:abstractNumId w:val="3"/>
  </w:num>
  <w:num w:numId="184">
    <w:abstractNumId w:val="3"/>
  </w:num>
  <w:num w:numId="185">
    <w:abstractNumId w:val="3"/>
  </w:num>
  <w:num w:numId="186">
    <w:abstractNumId w:val="3"/>
  </w:num>
  <w:num w:numId="187">
    <w:abstractNumId w:val="3"/>
  </w:num>
  <w:num w:numId="188">
    <w:abstractNumId w:val="3"/>
  </w:num>
  <w:num w:numId="189">
    <w:abstractNumId w:val="3"/>
  </w:num>
  <w:num w:numId="190">
    <w:abstractNumId w:val="3"/>
  </w:num>
  <w:num w:numId="191">
    <w:abstractNumId w:val="3"/>
  </w:num>
  <w:num w:numId="192">
    <w:abstractNumId w:val="3"/>
  </w:num>
  <w:num w:numId="193">
    <w:abstractNumId w:val="3"/>
  </w:num>
  <w:num w:numId="194">
    <w:abstractNumId w:val="3"/>
  </w:num>
  <w:num w:numId="195">
    <w:abstractNumId w:val="3"/>
  </w:num>
  <w:num w:numId="196">
    <w:abstractNumId w:val="3"/>
  </w:num>
  <w:num w:numId="197">
    <w:abstractNumId w:val="3"/>
  </w:num>
  <w:num w:numId="198">
    <w:abstractNumId w:val="3"/>
  </w:num>
  <w:num w:numId="199">
    <w:abstractNumId w:val="3"/>
  </w:num>
  <w:num w:numId="200">
    <w:abstractNumId w:val="3"/>
  </w:num>
  <w:num w:numId="201">
    <w:abstractNumId w:val="3"/>
  </w:num>
  <w:num w:numId="202">
    <w:abstractNumId w:val="3"/>
  </w:num>
  <w:num w:numId="203">
    <w:abstractNumId w:val="3"/>
  </w:num>
  <w:num w:numId="204">
    <w:abstractNumId w:val="3"/>
  </w:num>
  <w:num w:numId="205">
    <w:abstractNumId w:val="3"/>
  </w:num>
  <w:num w:numId="206">
    <w:abstractNumId w:val="3"/>
  </w:num>
  <w:num w:numId="207">
    <w:abstractNumId w:val="3"/>
  </w:num>
  <w:num w:numId="208">
    <w:abstractNumId w:val="3"/>
  </w:num>
  <w:num w:numId="209">
    <w:abstractNumId w:val="3"/>
  </w:num>
  <w:num w:numId="210">
    <w:abstractNumId w:val="3"/>
  </w:num>
  <w:num w:numId="211">
    <w:abstractNumId w:val="3"/>
  </w:num>
  <w:num w:numId="212">
    <w:abstractNumId w:val="3"/>
  </w:num>
  <w:num w:numId="213">
    <w:abstractNumId w:val="3"/>
  </w:num>
  <w:num w:numId="214">
    <w:abstractNumId w:val="3"/>
  </w:num>
  <w:num w:numId="215">
    <w:abstractNumId w:val="3"/>
  </w:num>
  <w:num w:numId="216">
    <w:abstractNumId w:val="3"/>
  </w:num>
  <w:num w:numId="217">
    <w:abstractNumId w:val="3"/>
  </w:num>
  <w:num w:numId="218">
    <w:abstractNumId w:val="3"/>
  </w:num>
  <w:num w:numId="219">
    <w:abstractNumId w:val="3"/>
  </w:num>
  <w:num w:numId="220">
    <w:abstractNumId w:val="3"/>
  </w:num>
  <w:num w:numId="221">
    <w:abstractNumId w:val="3"/>
  </w:num>
  <w:num w:numId="222">
    <w:abstractNumId w:val="3"/>
  </w:num>
  <w:num w:numId="223">
    <w:abstractNumId w:val="3"/>
  </w:num>
  <w:num w:numId="224">
    <w:abstractNumId w:val="3"/>
  </w:num>
  <w:num w:numId="225">
    <w:abstractNumId w:val="3"/>
  </w:num>
  <w:num w:numId="226">
    <w:abstractNumId w:val="3"/>
  </w:num>
  <w:num w:numId="227">
    <w:abstractNumId w:val="3"/>
  </w:num>
  <w:num w:numId="228">
    <w:abstractNumId w:val="3"/>
  </w:num>
  <w:num w:numId="229">
    <w:abstractNumId w:val="3"/>
  </w:num>
  <w:num w:numId="230">
    <w:abstractNumId w:val="3"/>
  </w:num>
  <w:num w:numId="231">
    <w:abstractNumId w:val="3"/>
  </w:num>
  <w:num w:numId="232">
    <w:abstractNumId w:val="3"/>
  </w:num>
  <w:num w:numId="233">
    <w:abstractNumId w:val="3"/>
  </w:num>
  <w:num w:numId="234">
    <w:abstractNumId w:val="3"/>
  </w:num>
  <w:num w:numId="235">
    <w:abstractNumId w:val="3"/>
  </w:num>
  <w:num w:numId="236">
    <w:abstractNumId w:val="3"/>
  </w:num>
  <w:num w:numId="237">
    <w:abstractNumId w:val="3"/>
  </w:num>
  <w:num w:numId="238">
    <w:abstractNumId w:val="3"/>
  </w:num>
  <w:num w:numId="239">
    <w:abstractNumId w:val="3"/>
  </w:num>
  <w:num w:numId="240">
    <w:abstractNumId w:val="3"/>
  </w:num>
  <w:num w:numId="241">
    <w:abstractNumId w:val="3"/>
  </w:num>
  <w:num w:numId="242">
    <w:abstractNumId w:val="3"/>
  </w:num>
  <w:num w:numId="243">
    <w:abstractNumId w:val="3"/>
  </w:num>
  <w:num w:numId="244">
    <w:abstractNumId w:val="3"/>
  </w:num>
  <w:num w:numId="245">
    <w:abstractNumId w:val="3"/>
  </w:num>
  <w:num w:numId="246">
    <w:abstractNumId w:val="3"/>
  </w:num>
  <w:num w:numId="247">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qForma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f9534b"/>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Hyperlink" w:customStyle="1">
    <w:name w:val="Hyperlink"/>
    <w:basedOn w:val="DefaultParagraphFont"/>
    <w:uiPriority w:val="99"/>
    <w:unhideWhenUsed/>
    <w:rsid w:val="00dc41dd"/>
    <w:rPr>
      <w:color w:themeColor="hyperlink" w:val="0000FF"/>
      <w:u w:val="single"/>
    </w:rPr>
  </w:style>
  <w:style w:type="character" w:styleId="Nvel1-RedChar" w:customStyle="1">
    <w:name w:val="Nível 1-Red Char"/>
    <w:basedOn w:val="Nivel01Char"/>
    <w:link w:val="Nvel1-Red"/>
    <w:qFormat/>
    <w:rsid w:val="007c4a90"/>
    <w:rPr>
      <w:rFonts w:ascii="Arial" w:hAnsi="Arial" w:eastAsia="" w:cs="Arial" w:eastAsiaTheme="majorEastAsia"/>
      <w:b/>
      <w:bCs/>
      <w:i/>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qFormat/>
    <w:rPr>
      <w:vertAlign w:val="superscript"/>
    </w:rPr>
  </w:style>
  <w:style w:type="character" w:styleId="FootnoteReference">
    <w:name w:val="Footnote Reference"/>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1-SemNumChar" w:customStyle="1">
    <w:name w:val="Nível 1-Sem Num Char"/>
    <w:basedOn w:val="Nivel01Char"/>
    <w:link w:val="Nvel1-SemNum"/>
    <w:qFormat/>
    <w:rsid w:val="00687859"/>
    <w:rPr>
      <w:rFonts w:ascii="Arial" w:hAnsi="Arial" w:eastAsia="" w:cs="Arial" w:eastAsiaTheme="majorEastAsia"/>
      <w:b/>
      <w:bCs/>
      <w:color w:themeColor="text2" w:themeShade="bf" w:val="FF0000"/>
      <w:spacing w:val="5"/>
      <w:kern w:val="2"/>
      <w:sz w:val="52"/>
      <w:szCs w:val="52"/>
      <w:lang w:eastAsia="pt-BR"/>
    </w:rPr>
  </w:style>
  <w:style w:type="character" w:styleId="UnresolvedMention1" w:customStyle="1">
    <w:name w:val="Unresolved Mention1"/>
    <w:basedOn w:val="DefaultParagraphFont"/>
    <w:uiPriority w:val="99"/>
    <w:semiHidden/>
    <w:unhideWhenUsed/>
    <w:qFormat/>
    <w:rsid w:val="00687859"/>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f9534b"/>
    <w:pPr>
      <w:numPr>
        <w:ilvl w:val="0"/>
        <w:numId w:val="3"/>
      </w:numPr>
      <w:tabs>
        <w:tab w:val="clear" w:pos="708"/>
        <w:tab w:val="left" w:pos="0" w:leader="none"/>
      </w:tabs>
      <w:spacing w:before="240" w:after="0"/>
      <w:ind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687859"/>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46374b"/>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left="567"/>
    </w:pPr>
    <w:rPr>
      <w:color w:val="auto"/>
    </w:rPr>
  </w:style>
  <w:style w:type="paragraph" w:styleId="Nivel5" w:customStyle="1">
    <w:name w:val="Nivel 5"/>
    <w:basedOn w:val="Nivel4"/>
    <w:qFormat/>
    <w:rsid w:val="00d44edf"/>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687859"/>
    <w:pPr>
      <w:spacing w:lineRule="auto" w:line="259" w:before="60" w:after="60"/>
      <w:ind w:lef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687859"/>
    <w:pPr/>
    <w:rPr>
      <w:i/>
      <w:iCs/>
      <w:color w:val="FF0000"/>
    </w:rPr>
  </w:style>
  <w:style w:type="paragraph" w:styleId="Nvel1-Red" w:customStyle="1">
    <w:name w:val="Nível 1-Red"/>
    <w:basedOn w:val="Nivel01"/>
    <w:link w:val="Nvel1-RedChar"/>
    <w:qFormat/>
    <w:rsid w:val="007c4a90"/>
    <w:pPr>
      <w:ind w:left="-426"/>
    </w:pPr>
    <w:rPr>
      <w:i/>
      <w:color w:themeColor="accent1" w:themeShade="bf"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paragraph" w:styleId="Nvel1-SemNum" w:customStyle="1">
    <w:name w:val="Nível 1-Sem Num"/>
    <w:basedOn w:val="Nivel01"/>
    <w:link w:val="Nvel1-SemNumChar"/>
    <w:qFormat/>
    <w:rsid w:val="00687859"/>
    <w:pPr>
      <w:numPr>
        <w:ilvl w:val="0"/>
        <w:numId w:val="0"/>
      </w:numPr>
      <w:tabs>
        <w:tab w:val="clear" w:pos="0"/>
      </w:tabs>
      <w:ind w:left="357"/>
      <w:outlineLvl w:val="1"/>
    </w:pPr>
    <w:rPr>
      <w:color w:themeColor="accent1" w:themeShade="bf" w:val="FF0000"/>
      <w:spacing w:val="5"/>
      <w:kern w:val="2"/>
      <w:sz w:val="52"/>
      <w:szCs w:val="52"/>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comments" Target="comment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38</TotalTime>
  <Application>LibreOffice/24.2.7.2$Windows_X86_64 LibreOffice_project/ee3885777aa7032db5a9b65deec9457448a91162</Application>
  <AppVersion>15.0000</AppVersion>
  <Pages>9</Pages>
  <Words>3627</Words>
  <Characters>20859</Characters>
  <CharactersWithSpaces>24196</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2025-03-24T17:59:00Z</dcterms:created>
  <dc:creator/>
  <dc:description/>
  <dc:language>pt-BR</dc:language>
  <cp:lastModifiedBy/>
  <cp:lastPrinted>2026-01-05T11:23:12Z</cp:lastPrinted>
  <dcterms:modified xsi:type="dcterms:W3CDTF">2026-01-05T11:53:47Z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